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EEC6" w14:textId="3D93766D" w:rsidR="001F6214" w:rsidRPr="00C16C10" w:rsidRDefault="00C16C10" w:rsidP="00C16C10">
      <w:pPr>
        <w:spacing w:line="360" w:lineRule="auto"/>
        <w:jc w:val="center"/>
        <w:rPr>
          <w:rFonts w:ascii="Times New Roman" w:hAnsi="Times New Roman" w:cs="Times New Roman"/>
          <w:b/>
          <w:bCs/>
        </w:rPr>
      </w:pPr>
      <w:r w:rsidRPr="00C16C10">
        <w:rPr>
          <w:rFonts w:ascii="Times New Roman" w:hAnsi="Times New Roman" w:cs="Times New Roman"/>
          <w:b/>
          <w:bCs/>
        </w:rPr>
        <w:t xml:space="preserve">Documentos </w:t>
      </w:r>
      <w:r>
        <w:rPr>
          <w:rFonts w:ascii="Times New Roman" w:hAnsi="Times New Roman" w:cs="Times New Roman"/>
          <w:b/>
          <w:bCs/>
        </w:rPr>
        <w:t>de habilitação</w:t>
      </w:r>
      <w:r w:rsidRPr="00C16C10">
        <w:rPr>
          <w:rFonts w:ascii="Times New Roman" w:hAnsi="Times New Roman" w:cs="Times New Roman"/>
          <w:b/>
          <w:bCs/>
        </w:rPr>
        <w:t xml:space="preserve"> obrigatórios </w:t>
      </w:r>
      <w:r>
        <w:rPr>
          <w:rFonts w:ascii="Times New Roman" w:hAnsi="Times New Roman" w:cs="Times New Roman"/>
          <w:b/>
          <w:bCs/>
        </w:rPr>
        <w:t xml:space="preserve">ou não </w:t>
      </w:r>
      <w:r w:rsidRPr="00C16C10">
        <w:rPr>
          <w:rFonts w:ascii="Times New Roman" w:hAnsi="Times New Roman" w:cs="Times New Roman"/>
          <w:b/>
          <w:bCs/>
        </w:rPr>
        <w:t>em uma contratação pública regida pela Lei 14.133/2021</w:t>
      </w:r>
    </w:p>
    <w:p w14:paraId="23B93740" w14:textId="77777777" w:rsidR="001F6214" w:rsidRDefault="001F6214" w:rsidP="00910858">
      <w:pPr>
        <w:spacing w:line="360" w:lineRule="auto"/>
        <w:ind w:firstLine="1134"/>
        <w:rPr>
          <w:rFonts w:ascii="Times New Roman" w:hAnsi="Times New Roman" w:cs="Times New Roman"/>
        </w:rPr>
      </w:pPr>
    </w:p>
    <w:p w14:paraId="6BBF4FC3" w14:textId="7FFEB987" w:rsidR="000C57F0" w:rsidRPr="000C57F0" w:rsidRDefault="000C57F0" w:rsidP="000C57F0">
      <w:pPr>
        <w:spacing w:line="360" w:lineRule="auto"/>
        <w:jc w:val="right"/>
        <w:rPr>
          <w:rFonts w:ascii="Times New Roman" w:hAnsi="Times New Roman" w:cs="Times New Roman"/>
          <w:b/>
          <w:bCs/>
          <w:color w:val="000000"/>
        </w:rPr>
      </w:pPr>
      <w:r w:rsidRPr="000C57F0">
        <w:rPr>
          <w:rFonts w:ascii="Times New Roman" w:hAnsi="Times New Roman" w:cs="Times New Roman"/>
          <w:b/>
          <w:bCs/>
          <w:color w:val="000000"/>
        </w:rPr>
        <w:t>Jandeson da Costa Barbosa</w:t>
      </w:r>
    </w:p>
    <w:p w14:paraId="28083CD0" w14:textId="4FAAEFD3" w:rsidR="000C57F0" w:rsidRPr="000C57F0" w:rsidRDefault="000C57F0" w:rsidP="000C57F0">
      <w:pPr>
        <w:spacing w:line="360" w:lineRule="auto"/>
        <w:jc w:val="right"/>
        <w:rPr>
          <w:rFonts w:ascii="Times New Roman" w:hAnsi="Times New Roman" w:cs="Times New Roman"/>
        </w:rPr>
      </w:pPr>
      <w:r w:rsidRPr="000C57F0">
        <w:rPr>
          <w:rFonts w:ascii="Times New Roman" w:hAnsi="Times New Roman" w:cs="Times New Roman"/>
          <w:i/>
          <w:iCs/>
          <w:color w:val="000000"/>
        </w:rPr>
        <w:t>Pioneiro na utilização de IA em Licitações e Contratos. Mestre em Direito e Políticas Públicas. Especialista em Direito Público. Membro da Consultoria Jurídica do Tribunal de Contas da União (TCU). Professor de Licitações e Contratos. Advogado.</w:t>
      </w:r>
    </w:p>
    <w:p w14:paraId="49BDAC8A" w14:textId="77777777" w:rsidR="000C57F0" w:rsidRDefault="000C57F0" w:rsidP="00910858">
      <w:pPr>
        <w:spacing w:line="360" w:lineRule="auto"/>
        <w:ind w:firstLine="1134"/>
        <w:rPr>
          <w:rFonts w:ascii="Times New Roman" w:hAnsi="Times New Roman" w:cs="Times New Roman"/>
        </w:rPr>
      </w:pPr>
    </w:p>
    <w:p w14:paraId="0B62F1D4" w14:textId="77777777" w:rsidR="000C57F0" w:rsidRDefault="000C57F0" w:rsidP="00910858">
      <w:pPr>
        <w:spacing w:line="360" w:lineRule="auto"/>
        <w:ind w:firstLine="1134"/>
        <w:rPr>
          <w:rFonts w:ascii="Times New Roman" w:hAnsi="Times New Roman" w:cs="Times New Roman"/>
        </w:rPr>
      </w:pPr>
    </w:p>
    <w:p w14:paraId="74C8EFE7" w14:textId="101593E3" w:rsidR="001F6214" w:rsidRDefault="001F6214" w:rsidP="00910858">
      <w:pPr>
        <w:spacing w:line="360" w:lineRule="auto"/>
        <w:ind w:firstLine="1134"/>
        <w:jc w:val="both"/>
        <w:rPr>
          <w:rFonts w:ascii="Times New Roman" w:hAnsi="Times New Roman" w:cs="Times New Roman"/>
        </w:rPr>
      </w:pPr>
      <w:r>
        <w:rPr>
          <w:rFonts w:ascii="Times New Roman" w:hAnsi="Times New Roman" w:cs="Times New Roman"/>
        </w:rPr>
        <w:t xml:space="preserve">A fase de habilitação dos licitantes é um dos temas das contratações públicas de maior relevância, tanto pela sua complexidade teórica, a entrelaçar diversos ramos do conhecimento, quanto pelo seu aspecto prático: define se </w:t>
      </w:r>
      <w:r w:rsidR="00C16C10">
        <w:rPr>
          <w:rFonts w:ascii="Times New Roman" w:hAnsi="Times New Roman" w:cs="Times New Roman"/>
        </w:rPr>
        <w:t>o fornecedor</w:t>
      </w:r>
      <w:r>
        <w:rPr>
          <w:rFonts w:ascii="Times New Roman" w:hAnsi="Times New Roman" w:cs="Times New Roman"/>
        </w:rPr>
        <w:t xml:space="preserve"> poderá ou não </w:t>
      </w:r>
      <w:r w:rsidR="00C16C10">
        <w:rPr>
          <w:rFonts w:ascii="Times New Roman" w:hAnsi="Times New Roman" w:cs="Times New Roman"/>
        </w:rPr>
        <w:t>ser contratado pela A</w:t>
      </w:r>
      <w:r w:rsidR="008F4477">
        <w:rPr>
          <w:rFonts w:ascii="Times New Roman" w:hAnsi="Times New Roman" w:cs="Times New Roman"/>
        </w:rPr>
        <w:t>dministração</w:t>
      </w:r>
      <w:r>
        <w:rPr>
          <w:rFonts w:ascii="Times New Roman" w:hAnsi="Times New Roman" w:cs="Times New Roman"/>
        </w:rPr>
        <w:t>.</w:t>
      </w:r>
    </w:p>
    <w:p w14:paraId="16B4862E" w14:textId="5DDB7A8E" w:rsidR="001F6214" w:rsidRDefault="001F6214" w:rsidP="00910858">
      <w:pPr>
        <w:spacing w:line="360" w:lineRule="auto"/>
        <w:ind w:firstLine="1134"/>
        <w:jc w:val="both"/>
        <w:rPr>
          <w:rFonts w:ascii="Times New Roman" w:hAnsi="Times New Roman" w:cs="Times New Roman"/>
        </w:rPr>
      </w:pPr>
      <w:r>
        <w:rPr>
          <w:rFonts w:ascii="Times New Roman" w:hAnsi="Times New Roman" w:cs="Times New Roman"/>
        </w:rPr>
        <w:t xml:space="preserve">É certo que um aprendizado meramente instrumental pode facilmente responder a questões triviais já adequadamente regulamentadas pelo edital da licitação. Contudo, não se deve olvidar que a resposta a questionamentos mais complexos e balizadores daquilo que </w:t>
      </w:r>
      <w:r w:rsidRPr="001F6214">
        <w:rPr>
          <w:rFonts w:ascii="Times New Roman" w:hAnsi="Times New Roman" w:cs="Times New Roman"/>
          <w:i/>
          <w:iCs/>
        </w:rPr>
        <w:t>pode ou não</w:t>
      </w:r>
      <w:r>
        <w:rPr>
          <w:rFonts w:ascii="Times New Roman" w:hAnsi="Times New Roman" w:cs="Times New Roman"/>
        </w:rPr>
        <w:t xml:space="preserve"> ser disposto no edital exige </w:t>
      </w:r>
      <w:r w:rsidR="00910858">
        <w:rPr>
          <w:rFonts w:ascii="Times New Roman" w:hAnsi="Times New Roman" w:cs="Times New Roman"/>
        </w:rPr>
        <w:t>análise mais aprofundada, pois entendimentos jurídicos devem ser construídos percorrendo confiáveis caminhos interpretativos, alguns inescapáveis. Existe até uma ciência para estudá-los: a hermenêutica</w:t>
      </w:r>
      <w:r w:rsidR="00910858">
        <w:rPr>
          <w:rStyle w:val="Refdenotaderodap"/>
          <w:rFonts w:ascii="Times New Roman" w:hAnsi="Times New Roman" w:cs="Times New Roman"/>
        </w:rPr>
        <w:footnoteReference w:id="1"/>
      </w:r>
      <w:r w:rsidR="00910858">
        <w:rPr>
          <w:rFonts w:ascii="Times New Roman" w:hAnsi="Times New Roman" w:cs="Times New Roman"/>
        </w:rPr>
        <w:t>.</w:t>
      </w:r>
    </w:p>
    <w:p w14:paraId="0C9B0F3B" w14:textId="6C206063" w:rsidR="005B14F0" w:rsidRDefault="00910858" w:rsidP="00910858">
      <w:pPr>
        <w:spacing w:line="360" w:lineRule="auto"/>
        <w:ind w:firstLine="1134"/>
        <w:jc w:val="both"/>
        <w:rPr>
          <w:rFonts w:ascii="Times New Roman" w:hAnsi="Times New Roman" w:cs="Times New Roman"/>
        </w:rPr>
      </w:pPr>
      <w:r>
        <w:rPr>
          <w:rFonts w:ascii="Times New Roman" w:hAnsi="Times New Roman" w:cs="Times New Roman"/>
        </w:rPr>
        <w:lastRenderedPageBreak/>
        <w:t xml:space="preserve">E é sob essas premissas que convido o nobre leitor à reflexão de que o adequado entendimento acerca da exigibilidade dos documentos de habilitação exige bem mais do que a leitura dos </w:t>
      </w:r>
      <w:proofErr w:type="spellStart"/>
      <w:r>
        <w:rPr>
          <w:rFonts w:ascii="Times New Roman" w:hAnsi="Times New Roman" w:cs="Times New Roman"/>
        </w:rPr>
        <w:t>arts</w:t>
      </w:r>
      <w:proofErr w:type="spellEnd"/>
      <w:r>
        <w:rPr>
          <w:rFonts w:ascii="Times New Roman" w:hAnsi="Times New Roman" w:cs="Times New Roman"/>
        </w:rPr>
        <w:t xml:space="preserve">. 62 a 71 da Lei 14.133/2021. Devemos retroceder à compreensão </w:t>
      </w:r>
      <w:r w:rsidRPr="00910858">
        <w:rPr>
          <w:rFonts w:ascii="Times New Roman" w:hAnsi="Times New Roman" w:cs="Times New Roman"/>
          <w:i/>
          <w:iCs/>
        </w:rPr>
        <w:t>ontológica</w:t>
      </w:r>
      <w:r>
        <w:rPr>
          <w:rFonts w:ascii="Times New Roman" w:hAnsi="Times New Roman" w:cs="Times New Roman"/>
        </w:rPr>
        <w:t xml:space="preserve"> de tais exigências. Àqueles que não estão acostumados com o termo, esclarece</w:t>
      </w:r>
      <w:r w:rsidR="008F4477">
        <w:rPr>
          <w:rFonts w:ascii="Times New Roman" w:hAnsi="Times New Roman" w:cs="Times New Roman"/>
        </w:rPr>
        <w:t xml:space="preserve">mos </w:t>
      </w:r>
      <w:r>
        <w:rPr>
          <w:rFonts w:ascii="Times New Roman" w:hAnsi="Times New Roman" w:cs="Times New Roman"/>
        </w:rPr>
        <w:t>que seu signi</w:t>
      </w:r>
      <w:r w:rsidR="0067705A">
        <w:rPr>
          <w:rFonts w:ascii="Times New Roman" w:hAnsi="Times New Roman" w:cs="Times New Roman"/>
        </w:rPr>
        <w:t xml:space="preserve">ficado é, na verdade, bastante simples. O estudo etimológico da palavra </w:t>
      </w:r>
      <w:r w:rsidR="0067705A" w:rsidRPr="0067705A">
        <w:rPr>
          <w:rFonts w:ascii="Times New Roman" w:hAnsi="Times New Roman" w:cs="Times New Roman"/>
          <w:i/>
          <w:iCs/>
        </w:rPr>
        <w:t>ontologia</w:t>
      </w:r>
      <w:r w:rsidR="0067705A">
        <w:rPr>
          <w:rFonts w:ascii="Times New Roman" w:hAnsi="Times New Roman" w:cs="Times New Roman"/>
        </w:rPr>
        <w:t xml:space="preserve"> aponta que </w:t>
      </w:r>
      <w:proofErr w:type="spellStart"/>
      <w:r w:rsidR="0067705A" w:rsidRPr="0067705A">
        <w:rPr>
          <w:rFonts w:ascii="Times New Roman" w:hAnsi="Times New Roman" w:cs="Times New Roman"/>
          <w:i/>
          <w:iCs/>
        </w:rPr>
        <w:t>óntos</w:t>
      </w:r>
      <w:proofErr w:type="spellEnd"/>
      <w:r w:rsidR="0067705A">
        <w:rPr>
          <w:rFonts w:ascii="Times New Roman" w:hAnsi="Times New Roman" w:cs="Times New Roman"/>
        </w:rPr>
        <w:t xml:space="preserve">, traduzido do grego, significa “ser” ou “ente”, ao passo que </w:t>
      </w:r>
      <w:r w:rsidR="0067705A" w:rsidRPr="0067705A">
        <w:rPr>
          <w:rFonts w:ascii="Times New Roman" w:hAnsi="Times New Roman" w:cs="Times New Roman"/>
          <w:i/>
          <w:iCs/>
        </w:rPr>
        <w:t>logos</w:t>
      </w:r>
      <w:r w:rsidR="0067705A">
        <w:rPr>
          <w:rFonts w:ascii="Times New Roman" w:hAnsi="Times New Roman" w:cs="Times New Roman"/>
        </w:rPr>
        <w:t xml:space="preserve"> pode significar “estudo” ou “</w:t>
      </w:r>
      <w:r w:rsidR="00592510">
        <w:rPr>
          <w:rFonts w:ascii="Times New Roman" w:hAnsi="Times New Roman" w:cs="Times New Roman"/>
        </w:rPr>
        <w:t>c</w:t>
      </w:r>
      <w:r w:rsidR="0067705A">
        <w:rPr>
          <w:rFonts w:ascii="Times New Roman" w:hAnsi="Times New Roman" w:cs="Times New Roman"/>
        </w:rPr>
        <w:t>iência</w:t>
      </w:r>
      <w:r w:rsidR="00592510">
        <w:rPr>
          <w:rFonts w:ascii="Times New Roman" w:hAnsi="Times New Roman" w:cs="Times New Roman"/>
        </w:rPr>
        <w:t>”.</w:t>
      </w:r>
      <w:r w:rsidR="005B14F0">
        <w:rPr>
          <w:rFonts w:ascii="Times New Roman" w:hAnsi="Times New Roman" w:cs="Times New Roman"/>
        </w:rPr>
        <w:t xml:space="preserve"> </w:t>
      </w:r>
    </w:p>
    <w:p w14:paraId="251CF278" w14:textId="696076E3" w:rsidR="005B14F0" w:rsidRDefault="008F4477" w:rsidP="00910858">
      <w:pPr>
        <w:spacing w:line="360" w:lineRule="auto"/>
        <w:ind w:firstLine="1134"/>
        <w:jc w:val="both"/>
        <w:rPr>
          <w:rFonts w:ascii="Times New Roman" w:hAnsi="Times New Roman" w:cs="Times New Roman"/>
        </w:rPr>
      </w:pPr>
      <w:r>
        <w:rPr>
          <w:rFonts w:ascii="Times New Roman" w:hAnsi="Times New Roman" w:cs="Times New Roman"/>
        </w:rPr>
        <w:t>P</w:t>
      </w:r>
      <w:r w:rsidR="005B14F0">
        <w:rPr>
          <w:rFonts w:ascii="Times New Roman" w:hAnsi="Times New Roman" w:cs="Times New Roman"/>
        </w:rPr>
        <w:t>ortanto, uma “classificação ontológica” se refere à divisão de algo segundo a natureza, a “essência de ser” do que se está classificando. E é isto que faremos com os documentos da fase de habilitação da Lei 14.133/2021. Longe de ser apenas um esforço acadêmico</w:t>
      </w:r>
      <w:r>
        <w:rPr>
          <w:rFonts w:ascii="Times New Roman" w:hAnsi="Times New Roman" w:cs="Times New Roman"/>
        </w:rPr>
        <w:t xml:space="preserve"> ou teórico</w:t>
      </w:r>
      <w:r w:rsidR="005B14F0">
        <w:rPr>
          <w:rFonts w:ascii="Times New Roman" w:hAnsi="Times New Roman" w:cs="Times New Roman"/>
        </w:rPr>
        <w:t>, é precisamente essa “natureza do existir” que tem o potencial de nos informar acerca da obrigatoriedade ou não de cada um desses documentos.</w:t>
      </w:r>
    </w:p>
    <w:p w14:paraId="40DC8EB6" w14:textId="01C68535" w:rsidR="00910858" w:rsidRDefault="005B14F0" w:rsidP="00910858">
      <w:pPr>
        <w:spacing w:line="360" w:lineRule="auto"/>
        <w:ind w:firstLine="1134"/>
        <w:jc w:val="both"/>
        <w:rPr>
          <w:rFonts w:ascii="Times New Roman" w:hAnsi="Times New Roman" w:cs="Times New Roman"/>
        </w:rPr>
      </w:pPr>
      <w:r>
        <w:rPr>
          <w:rFonts w:ascii="Times New Roman" w:hAnsi="Times New Roman" w:cs="Times New Roman"/>
        </w:rPr>
        <w:t>O art. 62 da Lei 14.133/2021 divide a habilitação em: jurídica; técnica; fiscal,</w:t>
      </w:r>
      <w:r w:rsidRPr="005B14F0">
        <w:rPr>
          <w:rFonts w:ascii="Times New Roman" w:hAnsi="Times New Roman" w:cs="Times New Roman"/>
        </w:rPr>
        <w:t> social e trabalhista</w:t>
      </w:r>
      <w:r>
        <w:rPr>
          <w:rFonts w:ascii="Times New Roman" w:hAnsi="Times New Roman" w:cs="Times New Roman"/>
        </w:rPr>
        <w:t xml:space="preserve">; e </w:t>
      </w:r>
      <w:r w:rsidRPr="005B14F0">
        <w:rPr>
          <w:rFonts w:ascii="Times New Roman" w:hAnsi="Times New Roman" w:cs="Times New Roman"/>
        </w:rPr>
        <w:t>econômico-financeira</w:t>
      </w:r>
      <w:r>
        <w:rPr>
          <w:rFonts w:ascii="Times New Roman" w:hAnsi="Times New Roman" w:cs="Times New Roman"/>
        </w:rPr>
        <w:t xml:space="preserve">. Essa classificação é didática para demonstrar a finalidade de cada documento, mas é insuficiente, </w:t>
      </w:r>
      <w:r w:rsidRPr="005B14F0">
        <w:rPr>
          <w:rFonts w:ascii="Times New Roman" w:hAnsi="Times New Roman" w:cs="Times New Roman"/>
          <w:i/>
          <w:iCs/>
        </w:rPr>
        <w:t>per se</w:t>
      </w:r>
      <w:r>
        <w:rPr>
          <w:rFonts w:ascii="Times New Roman" w:hAnsi="Times New Roman" w:cs="Times New Roman"/>
        </w:rPr>
        <w:t xml:space="preserve">, para nos responder ao questionamento quanto </w:t>
      </w:r>
      <w:r w:rsidR="008F4477">
        <w:rPr>
          <w:rFonts w:ascii="Times New Roman" w:hAnsi="Times New Roman" w:cs="Times New Roman"/>
        </w:rPr>
        <w:t xml:space="preserve">à sua </w:t>
      </w:r>
      <w:r>
        <w:rPr>
          <w:rFonts w:ascii="Times New Roman" w:hAnsi="Times New Roman" w:cs="Times New Roman"/>
        </w:rPr>
        <w:t>obrigatoriedade</w:t>
      </w:r>
      <w:r w:rsidR="008F4477">
        <w:rPr>
          <w:rFonts w:ascii="Times New Roman" w:hAnsi="Times New Roman" w:cs="Times New Roman"/>
        </w:rPr>
        <w:t xml:space="preserve"> ou não</w:t>
      </w:r>
      <w:r>
        <w:rPr>
          <w:rFonts w:ascii="Times New Roman" w:hAnsi="Times New Roman" w:cs="Times New Roman"/>
        </w:rPr>
        <w:t xml:space="preserve">. E, aqui, cabe destacar que a interpretação literal </w:t>
      </w:r>
      <w:r w:rsidR="008F4477">
        <w:rPr>
          <w:rFonts w:ascii="Times New Roman" w:hAnsi="Times New Roman" w:cs="Times New Roman"/>
        </w:rPr>
        <w:t xml:space="preserve">do texto legal </w:t>
      </w:r>
      <w:r>
        <w:rPr>
          <w:rFonts w:ascii="Times New Roman" w:hAnsi="Times New Roman" w:cs="Times New Roman"/>
        </w:rPr>
        <w:t xml:space="preserve">não é suficiente para responder à nossa pergunta. Ou seja, não é porque </w:t>
      </w:r>
      <w:r w:rsidR="00417A50">
        <w:rPr>
          <w:rFonts w:ascii="Times New Roman" w:hAnsi="Times New Roman" w:cs="Times New Roman"/>
        </w:rPr>
        <w:t xml:space="preserve">a referência à documentação está </w:t>
      </w:r>
      <w:r w:rsidR="008F4477">
        <w:rPr>
          <w:rFonts w:ascii="Times New Roman" w:hAnsi="Times New Roman" w:cs="Times New Roman"/>
        </w:rPr>
        <w:t>na Lei</w:t>
      </w:r>
      <w:r w:rsidR="00417A50">
        <w:rPr>
          <w:rFonts w:ascii="Times New Roman" w:hAnsi="Times New Roman" w:cs="Times New Roman"/>
        </w:rPr>
        <w:t xml:space="preserve"> que </w:t>
      </w:r>
      <w:r w:rsidR="008F4477">
        <w:rPr>
          <w:rFonts w:ascii="Times New Roman" w:hAnsi="Times New Roman" w:cs="Times New Roman"/>
        </w:rPr>
        <w:t>esta</w:t>
      </w:r>
      <w:r w:rsidR="00417A50">
        <w:rPr>
          <w:rFonts w:ascii="Times New Roman" w:hAnsi="Times New Roman" w:cs="Times New Roman"/>
        </w:rPr>
        <w:t xml:space="preserve"> </w:t>
      </w:r>
      <w:r w:rsidR="008F4477">
        <w:rPr>
          <w:rFonts w:ascii="Times New Roman" w:hAnsi="Times New Roman" w:cs="Times New Roman"/>
        </w:rPr>
        <w:t>será</w:t>
      </w:r>
      <w:r w:rsidR="00417A50">
        <w:rPr>
          <w:rFonts w:ascii="Times New Roman" w:hAnsi="Times New Roman" w:cs="Times New Roman"/>
        </w:rPr>
        <w:t xml:space="preserve"> obrigatória em todas as circunstâncias. </w:t>
      </w:r>
      <w:r w:rsidR="00345122">
        <w:rPr>
          <w:rFonts w:ascii="Times New Roman" w:hAnsi="Times New Roman" w:cs="Times New Roman"/>
        </w:rPr>
        <w:t>Tomar essa conclusão apressada seria desprezar, justamente, que existe uma ciência dedicada apenas a estudar as formas de interpretação, a hermenêutica, como tratamos acima.</w:t>
      </w:r>
      <w:r w:rsidR="00147649">
        <w:rPr>
          <w:rFonts w:ascii="Times New Roman" w:hAnsi="Times New Roman" w:cs="Times New Roman"/>
        </w:rPr>
        <w:t xml:space="preserve"> Nesse sentido aponta </w:t>
      </w:r>
      <w:r w:rsidR="00BD6449">
        <w:rPr>
          <w:rFonts w:ascii="Times New Roman" w:hAnsi="Times New Roman" w:cs="Times New Roman"/>
        </w:rPr>
        <w:t xml:space="preserve">Marçal </w:t>
      </w:r>
      <w:proofErr w:type="spellStart"/>
      <w:r w:rsidR="00BD6449">
        <w:rPr>
          <w:rFonts w:ascii="Times New Roman" w:hAnsi="Times New Roman" w:cs="Times New Roman"/>
        </w:rPr>
        <w:t>Justen</w:t>
      </w:r>
      <w:proofErr w:type="spellEnd"/>
      <w:r w:rsidR="00BD6449">
        <w:rPr>
          <w:rFonts w:ascii="Times New Roman" w:hAnsi="Times New Roman" w:cs="Times New Roman"/>
        </w:rPr>
        <w:t xml:space="preserve"> Filho</w:t>
      </w:r>
      <w:r w:rsidR="00147649">
        <w:rPr>
          <w:rFonts w:ascii="Times New Roman" w:hAnsi="Times New Roman" w:cs="Times New Roman"/>
        </w:rPr>
        <w:t>:</w:t>
      </w:r>
    </w:p>
    <w:p w14:paraId="71B599A1" w14:textId="242DBC08" w:rsidR="00147649" w:rsidRDefault="00147649" w:rsidP="00147649">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76092F">
        <w:rPr>
          <w:rFonts w:ascii="Times New Roman" w:hAnsi="Times New Roman" w:cs="Times New Roman"/>
          <w:sz w:val="22"/>
          <w:szCs w:val="22"/>
        </w:rPr>
        <w:t xml:space="preserve">O elenco dos </w:t>
      </w:r>
      <w:proofErr w:type="spellStart"/>
      <w:r w:rsidRPr="0076092F">
        <w:rPr>
          <w:rFonts w:ascii="Times New Roman" w:hAnsi="Times New Roman" w:cs="Times New Roman"/>
          <w:sz w:val="22"/>
          <w:szCs w:val="22"/>
        </w:rPr>
        <w:t>arts</w:t>
      </w:r>
      <w:proofErr w:type="spellEnd"/>
      <w:r w:rsidRPr="0076092F">
        <w:rPr>
          <w:rFonts w:ascii="Times New Roman" w:hAnsi="Times New Roman" w:cs="Times New Roman"/>
          <w:sz w:val="22"/>
          <w:szCs w:val="22"/>
        </w:rPr>
        <w:t>. 63 a 70 deve ser reputado como máximo e não como mínimo. Ou seja, não há imposição legislativa a que a Administração, em cada licitação, exija comprovação integral quanto a cada um dos itens contemplados nos referidos dispositivos. O edital não poderá exigir mais do que ali previsto, mas poderá demandar menos.</w:t>
      </w:r>
      <w:r>
        <w:rPr>
          <w:rStyle w:val="Refdenotaderodap"/>
          <w:rFonts w:ascii="Times New Roman" w:hAnsi="Times New Roman" w:cs="Times New Roman"/>
          <w:sz w:val="22"/>
          <w:szCs w:val="22"/>
        </w:rPr>
        <w:footnoteReference w:id="2"/>
      </w:r>
    </w:p>
    <w:p w14:paraId="4A41C728" w14:textId="77777777" w:rsidR="008F55FA" w:rsidRPr="0076092F" w:rsidRDefault="008F55FA" w:rsidP="00147649">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68FA9F13" w14:textId="1124839F" w:rsidR="00147649" w:rsidRDefault="00147649" w:rsidP="00147649">
      <w:pPr>
        <w:spacing w:line="360" w:lineRule="auto"/>
        <w:ind w:firstLine="1134"/>
        <w:jc w:val="both"/>
        <w:rPr>
          <w:rFonts w:ascii="Times New Roman" w:hAnsi="Times New Roman" w:cs="Times New Roman"/>
        </w:rPr>
      </w:pPr>
      <w:r>
        <w:rPr>
          <w:rFonts w:ascii="Times New Roman" w:hAnsi="Times New Roman" w:cs="Times New Roman"/>
        </w:rPr>
        <w:t>Corroboramos o entendimento do festejado autor, pois, de fato, o “</w:t>
      </w:r>
      <w:r w:rsidRPr="00147649">
        <w:rPr>
          <w:rFonts w:ascii="Times New Roman" w:hAnsi="Times New Roman" w:cs="Times New Roman"/>
        </w:rPr>
        <w:t>edital não poderá exigir mais do que ali previsto, mas poderá demandar menos</w:t>
      </w:r>
      <w:r>
        <w:rPr>
          <w:rFonts w:ascii="Times New Roman" w:hAnsi="Times New Roman" w:cs="Times New Roman"/>
        </w:rPr>
        <w:t xml:space="preserve">”. Assim, o objetivo do presente ensaio é investigar o quão </w:t>
      </w:r>
      <w:r w:rsidRPr="00147649">
        <w:rPr>
          <w:rFonts w:ascii="Times New Roman" w:hAnsi="Times New Roman" w:cs="Times New Roman"/>
          <w:i/>
          <w:iCs/>
        </w:rPr>
        <w:t>menos</w:t>
      </w:r>
      <w:r>
        <w:rPr>
          <w:rFonts w:ascii="Times New Roman" w:hAnsi="Times New Roman" w:cs="Times New Roman"/>
        </w:rPr>
        <w:t xml:space="preserve"> é possível ser exigido</w:t>
      </w:r>
      <w:r w:rsidR="008F4477">
        <w:rPr>
          <w:rFonts w:ascii="Times New Roman" w:hAnsi="Times New Roman" w:cs="Times New Roman"/>
        </w:rPr>
        <w:t xml:space="preserve"> em termos de </w:t>
      </w:r>
      <w:r w:rsidR="008F4477">
        <w:rPr>
          <w:rFonts w:ascii="Times New Roman" w:hAnsi="Times New Roman" w:cs="Times New Roman"/>
        </w:rPr>
        <w:lastRenderedPageBreak/>
        <w:t>documentos de habilitação</w:t>
      </w:r>
      <w:r>
        <w:rPr>
          <w:rFonts w:ascii="Times New Roman" w:hAnsi="Times New Roman" w:cs="Times New Roman"/>
        </w:rPr>
        <w:t xml:space="preserve">. Em outras palavras, o objetivo deste estudo é apontar quais documentos são obrigatórios e, portanto, devem ser sempre exigidos, e quais não ostentam </w:t>
      </w:r>
      <w:r w:rsidR="008F4477">
        <w:rPr>
          <w:rFonts w:ascii="Times New Roman" w:hAnsi="Times New Roman" w:cs="Times New Roman"/>
        </w:rPr>
        <w:t>tal</w:t>
      </w:r>
      <w:r>
        <w:rPr>
          <w:rFonts w:ascii="Times New Roman" w:hAnsi="Times New Roman" w:cs="Times New Roman"/>
        </w:rPr>
        <w:t xml:space="preserve"> obrigatoriedade.</w:t>
      </w:r>
    </w:p>
    <w:p w14:paraId="21202AC6" w14:textId="322BC997" w:rsidR="00345122" w:rsidRDefault="00147649" w:rsidP="00910858">
      <w:pPr>
        <w:spacing w:line="360" w:lineRule="auto"/>
        <w:ind w:firstLine="1134"/>
        <w:jc w:val="both"/>
        <w:rPr>
          <w:rFonts w:ascii="Times New Roman" w:hAnsi="Times New Roman" w:cs="Times New Roman"/>
        </w:rPr>
      </w:pPr>
      <w:r>
        <w:rPr>
          <w:rFonts w:ascii="Times New Roman" w:hAnsi="Times New Roman" w:cs="Times New Roman"/>
        </w:rPr>
        <w:t>Ocorre que essa pergunta demanda, como já mencionado, um exercício interpretativo para além da superfície do texto legal. Exige um verdadeiro “penetrar nas entranh</w:t>
      </w:r>
      <w:r w:rsidR="00261706">
        <w:rPr>
          <w:rFonts w:ascii="Times New Roman" w:hAnsi="Times New Roman" w:cs="Times New Roman"/>
        </w:rPr>
        <w:t>a</w:t>
      </w:r>
      <w:r>
        <w:rPr>
          <w:rFonts w:ascii="Times New Roman" w:hAnsi="Times New Roman" w:cs="Times New Roman"/>
        </w:rPr>
        <w:t>s”</w:t>
      </w:r>
      <w:r w:rsidR="00261706">
        <w:rPr>
          <w:rFonts w:ascii="Times New Roman" w:hAnsi="Times New Roman" w:cs="Times New Roman"/>
        </w:rPr>
        <w:t>,</w:t>
      </w:r>
      <w:r>
        <w:rPr>
          <w:rFonts w:ascii="Times New Roman" w:hAnsi="Times New Roman" w:cs="Times New Roman"/>
        </w:rPr>
        <w:t xml:space="preserve"> </w:t>
      </w:r>
      <w:r w:rsidR="00261706">
        <w:rPr>
          <w:rFonts w:ascii="Times New Roman" w:hAnsi="Times New Roman" w:cs="Times New Roman"/>
        </w:rPr>
        <w:t>n</w:t>
      </w:r>
      <w:r w:rsidR="00022D17">
        <w:rPr>
          <w:rFonts w:ascii="Times New Roman" w:hAnsi="Times New Roman" w:cs="Times New Roman"/>
        </w:rPr>
        <w:t xml:space="preserve">a </w:t>
      </w:r>
      <w:r w:rsidR="00261706">
        <w:rPr>
          <w:rFonts w:ascii="Times New Roman" w:hAnsi="Times New Roman" w:cs="Times New Roman"/>
        </w:rPr>
        <w:t>“</w:t>
      </w:r>
      <w:r w:rsidR="00022D17">
        <w:rPr>
          <w:rFonts w:ascii="Times New Roman" w:hAnsi="Times New Roman" w:cs="Times New Roman"/>
        </w:rPr>
        <w:t>essência d</w:t>
      </w:r>
      <w:r w:rsidR="008F4477">
        <w:rPr>
          <w:rFonts w:ascii="Times New Roman" w:hAnsi="Times New Roman" w:cs="Times New Roman"/>
        </w:rPr>
        <w:t>o</w:t>
      </w:r>
      <w:r w:rsidR="00022D17">
        <w:rPr>
          <w:rFonts w:ascii="Times New Roman" w:hAnsi="Times New Roman" w:cs="Times New Roman"/>
        </w:rPr>
        <w:t xml:space="preserve"> existir</w:t>
      </w:r>
      <w:r w:rsidR="00261706">
        <w:rPr>
          <w:rFonts w:ascii="Times New Roman" w:hAnsi="Times New Roman" w:cs="Times New Roman"/>
        </w:rPr>
        <w:t>”, na classificação ontológica</w:t>
      </w:r>
      <w:r w:rsidR="00022D17">
        <w:rPr>
          <w:rFonts w:ascii="Times New Roman" w:hAnsi="Times New Roman" w:cs="Times New Roman"/>
        </w:rPr>
        <w:t xml:space="preserve"> de cada um desses </w:t>
      </w:r>
      <w:r w:rsidR="00261706">
        <w:rPr>
          <w:rFonts w:ascii="Times New Roman" w:hAnsi="Times New Roman" w:cs="Times New Roman"/>
        </w:rPr>
        <w:t>documentos</w:t>
      </w:r>
      <w:r w:rsidR="00022D17">
        <w:rPr>
          <w:rFonts w:ascii="Times New Roman" w:hAnsi="Times New Roman" w:cs="Times New Roman"/>
        </w:rPr>
        <w:t xml:space="preserve"> de habilitação. Precisamos saber qual a finalidade</w:t>
      </w:r>
      <w:r w:rsidR="008F4477">
        <w:rPr>
          <w:rFonts w:ascii="Times New Roman" w:hAnsi="Times New Roman" w:cs="Times New Roman"/>
        </w:rPr>
        <w:t xml:space="preserve"> da sua existência</w:t>
      </w:r>
      <w:r w:rsidR="00022D17">
        <w:rPr>
          <w:rFonts w:ascii="Times New Roman" w:hAnsi="Times New Roman" w:cs="Times New Roman"/>
        </w:rPr>
        <w:t xml:space="preserve">, quais valores constitucionais (suporte axiológico) sustentam a sua exigência ou não, qual a intenção do legislador ao inseri-los na Lei 14.133/2021 e, por derradeiro, qual a sua </w:t>
      </w:r>
      <w:r w:rsidR="00022D17" w:rsidRPr="00022D17">
        <w:rPr>
          <w:rFonts w:ascii="Times New Roman" w:hAnsi="Times New Roman" w:cs="Times New Roman"/>
          <w:i/>
          <w:iCs/>
        </w:rPr>
        <w:t>utilidade</w:t>
      </w:r>
      <w:r w:rsidR="00022D17">
        <w:rPr>
          <w:rFonts w:ascii="Times New Roman" w:hAnsi="Times New Roman" w:cs="Times New Roman"/>
        </w:rPr>
        <w:t xml:space="preserve"> e </w:t>
      </w:r>
      <w:r w:rsidR="00022D17" w:rsidRPr="00022D17">
        <w:rPr>
          <w:rFonts w:ascii="Times New Roman" w:hAnsi="Times New Roman" w:cs="Times New Roman"/>
          <w:i/>
          <w:iCs/>
        </w:rPr>
        <w:t>quem</w:t>
      </w:r>
      <w:r w:rsidR="00022D17">
        <w:rPr>
          <w:rFonts w:ascii="Times New Roman" w:hAnsi="Times New Roman" w:cs="Times New Roman"/>
        </w:rPr>
        <w:t xml:space="preserve"> pode dela dispor.</w:t>
      </w:r>
    </w:p>
    <w:p w14:paraId="7013A6EB" w14:textId="2C08A2EF" w:rsidR="0007328D" w:rsidRDefault="0007328D" w:rsidP="00910858">
      <w:pPr>
        <w:spacing w:line="360" w:lineRule="auto"/>
        <w:ind w:firstLine="1134"/>
        <w:jc w:val="both"/>
        <w:rPr>
          <w:rFonts w:ascii="Times New Roman" w:hAnsi="Times New Roman" w:cs="Times New Roman"/>
        </w:rPr>
      </w:pPr>
      <w:r>
        <w:rPr>
          <w:rFonts w:ascii="Times New Roman" w:hAnsi="Times New Roman" w:cs="Times New Roman"/>
        </w:rPr>
        <w:t xml:space="preserve">Assim, propomos dividir os documentos de habilitação nas seguintes categorias quanto à natureza da sua exigência: </w:t>
      </w:r>
      <w:r w:rsidR="00D74FFE">
        <w:rPr>
          <w:rFonts w:ascii="Times New Roman" w:hAnsi="Times New Roman" w:cs="Times New Roman"/>
        </w:rPr>
        <w:t xml:space="preserve">necessidade de </w:t>
      </w:r>
      <w:r w:rsidR="007E518D">
        <w:rPr>
          <w:rFonts w:ascii="Times New Roman" w:hAnsi="Times New Roman" w:cs="Times New Roman"/>
        </w:rPr>
        <w:t xml:space="preserve">comprovação de </w:t>
      </w:r>
      <w:r w:rsidR="007E518D" w:rsidRPr="007E518D">
        <w:rPr>
          <w:rFonts w:ascii="Times New Roman" w:hAnsi="Times New Roman" w:cs="Times New Roman"/>
        </w:rPr>
        <w:t xml:space="preserve">capacidade e legitimidade </w:t>
      </w:r>
      <w:r w:rsidR="00D74FFE">
        <w:rPr>
          <w:rFonts w:ascii="Times New Roman" w:hAnsi="Times New Roman" w:cs="Times New Roman"/>
        </w:rPr>
        <w:t>civil</w:t>
      </w:r>
      <w:r>
        <w:rPr>
          <w:rFonts w:ascii="Times New Roman" w:hAnsi="Times New Roman" w:cs="Times New Roman"/>
        </w:rPr>
        <w:t xml:space="preserve">; implemento de política pública; exigência </w:t>
      </w:r>
      <w:r w:rsidR="00B75FBA">
        <w:rPr>
          <w:rFonts w:ascii="Times New Roman" w:hAnsi="Times New Roman" w:cs="Times New Roman"/>
        </w:rPr>
        <w:t>do poder de polícia estatal</w:t>
      </w:r>
      <w:r>
        <w:rPr>
          <w:rFonts w:ascii="Times New Roman" w:hAnsi="Times New Roman" w:cs="Times New Roman"/>
        </w:rPr>
        <w:t>; e, por fim, por razoável impacto teórico sobre a execução do objeto.</w:t>
      </w:r>
    </w:p>
    <w:p w14:paraId="7EBEB72C" w14:textId="77777777" w:rsidR="00AC530B" w:rsidRDefault="00AC530B" w:rsidP="00910858">
      <w:pPr>
        <w:spacing w:line="360" w:lineRule="auto"/>
        <w:ind w:firstLine="1134"/>
        <w:jc w:val="both"/>
        <w:rPr>
          <w:rFonts w:ascii="Times New Roman" w:hAnsi="Times New Roman" w:cs="Times New Roman"/>
        </w:rPr>
      </w:pPr>
    </w:p>
    <w:p w14:paraId="53C75D11" w14:textId="77777777" w:rsidR="00D74FFE" w:rsidRDefault="00D74FFE" w:rsidP="00606298">
      <w:pPr>
        <w:spacing w:line="360" w:lineRule="auto"/>
        <w:ind w:firstLine="1134"/>
        <w:jc w:val="both"/>
        <w:rPr>
          <w:rFonts w:ascii="Times New Roman" w:hAnsi="Times New Roman" w:cs="Times New Roman"/>
          <w:b/>
          <w:bCs/>
        </w:rPr>
      </w:pPr>
      <w:r>
        <w:rPr>
          <w:rFonts w:ascii="Times New Roman" w:hAnsi="Times New Roman" w:cs="Times New Roman"/>
          <w:b/>
          <w:bCs/>
        </w:rPr>
        <w:t>N</w:t>
      </w:r>
      <w:r w:rsidRPr="00D74FFE">
        <w:rPr>
          <w:rFonts w:ascii="Times New Roman" w:hAnsi="Times New Roman" w:cs="Times New Roman"/>
          <w:b/>
          <w:bCs/>
        </w:rPr>
        <w:t>ecessidade de comprovação de capacidade e legitimidade civil</w:t>
      </w:r>
    </w:p>
    <w:p w14:paraId="7153DB24" w14:textId="44A6F30F" w:rsidR="00FC6801" w:rsidRDefault="0007328D" w:rsidP="00606298">
      <w:pPr>
        <w:spacing w:line="360" w:lineRule="auto"/>
        <w:ind w:firstLine="1134"/>
        <w:jc w:val="both"/>
        <w:rPr>
          <w:rFonts w:ascii="Times New Roman" w:hAnsi="Times New Roman" w:cs="Times New Roman"/>
        </w:rPr>
      </w:pPr>
      <w:r>
        <w:rPr>
          <w:rFonts w:ascii="Times New Roman" w:hAnsi="Times New Roman" w:cs="Times New Roman"/>
        </w:rPr>
        <w:t>Alguns documentos decorrem d</w:t>
      </w:r>
      <w:r w:rsidR="007E518D">
        <w:rPr>
          <w:rFonts w:ascii="Times New Roman" w:hAnsi="Times New Roman" w:cs="Times New Roman"/>
        </w:rPr>
        <w:t>a</w:t>
      </w:r>
      <w:r>
        <w:rPr>
          <w:rFonts w:ascii="Times New Roman" w:hAnsi="Times New Roman" w:cs="Times New Roman"/>
        </w:rPr>
        <w:t xml:space="preserve"> </w:t>
      </w:r>
      <w:r w:rsidR="00D74FFE" w:rsidRPr="00D74FFE">
        <w:rPr>
          <w:rFonts w:ascii="Times New Roman" w:hAnsi="Times New Roman" w:cs="Times New Roman"/>
          <w:i/>
          <w:iCs/>
        </w:rPr>
        <w:t>necessidade de comprovação de capacidade e legitimidade civil</w:t>
      </w:r>
      <w:r w:rsidR="00D74FFE" w:rsidRPr="00D74FFE">
        <w:rPr>
          <w:rFonts w:ascii="Times New Roman" w:hAnsi="Times New Roman" w:cs="Times New Roman"/>
          <w:i/>
          <w:iCs/>
        </w:rPr>
        <w:t xml:space="preserve"> </w:t>
      </w:r>
      <w:r>
        <w:rPr>
          <w:rFonts w:ascii="Times New Roman" w:hAnsi="Times New Roman" w:cs="Times New Roman"/>
        </w:rPr>
        <w:t xml:space="preserve">do tipo de contratação e da </w:t>
      </w:r>
      <w:r w:rsidRPr="008F4477">
        <w:rPr>
          <w:rFonts w:ascii="Times New Roman" w:hAnsi="Times New Roman" w:cs="Times New Roman"/>
        </w:rPr>
        <w:t>forma</w:t>
      </w:r>
      <w:r w:rsidR="008F4477">
        <w:rPr>
          <w:rFonts w:ascii="Times New Roman" w:hAnsi="Times New Roman" w:cs="Times New Roman"/>
        </w:rPr>
        <w:t xml:space="preserve"> adotada</w:t>
      </w:r>
      <w:r>
        <w:rPr>
          <w:rFonts w:ascii="Times New Roman" w:hAnsi="Times New Roman" w:cs="Times New Roman"/>
        </w:rPr>
        <w:t xml:space="preserve">, do modo como são celebrados. Há exigências derivadas do direito civil que impactam a </w:t>
      </w:r>
      <w:r w:rsidRPr="0007328D">
        <w:rPr>
          <w:rFonts w:ascii="Times New Roman" w:hAnsi="Times New Roman" w:cs="Times New Roman"/>
          <w:i/>
          <w:iCs/>
        </w:rPr>
        <w:t>forma</w:t>
      </w:r>
      <w:r>
        <w:rPr>
          <w:rFonts w:ascii="Times New Roman" w:hAnsi="Times New Roman" w:cs="Times New Roman"/>
        </w:rPr>
        <w:t xml:space="preserve"> dos contratos e negócios jurídicos. Por exemplo, um menor de idade</w:t>
      </w:r>
      <w:r w:rsidR="00337D99">
        <w:rPr>
          <w:rFonts w:ascii="Times New Roman" w:hAnsi="Times New Roman" w:cs="Times New Roman"/>
        </w:rPr>
        <w:t>, com 16 anos,</w:t>
      </w:r>
      <w:r>
        <w:rPr>
          <w:rFonts w:ascii="Times New Roman" w:hAnsi="Times New Roman" w:cs="Times New Roman"/>
        </w:rPr>
        <w:t xml:space="preserve"> não pode celebrar um negócio jurídico sem ser assistido</w:t>
      </w:r>
      <w:r w:rsidR="00337D99">
        <w:rPr>
          <w:rFonts w:ascii="Times New Roman" w:hAnsi="Times New Roman" w:cs="Times New Roman"/>
        </w:rPr>
        <w:t xml:space="preserve"> por alguém maior de idade</w:t>
      </w:r>
      <w:r>
        <w:rPr>
          <w:rFonts w:ascii="Times New Roman" w:hAnsi="Times New Roman" w:cs="Times New Roman"/>
        </w:rPr>
        <w:t>.</w:t>
      </w:r>
      <w:r w:rsidR="00337D99">
        <w:rPr>
          <w:rFonts w:ascii="Times New Roman" w:hAnsi="Times New Roman" w:cs="Times New Roman"/>
        </w:rPr>
        <w:t xml:space="preserve"> Por sua vez, uma pessoa física não pode simplesmente dizer que é o representante (</w:t>
      </w:r>
      <w:proofErr w:type="spellStart"/>
      <w:r w:rsidR="00337D99">
        <w:rPr>
          <w:rFonts w:ascii="Times New Roman" w:hAnsi="Times New Roman" w:cs="Times New Roman"/>
        </w:rPr>
        <w:t>presentante</w:t>
      </w:r>
      <w:proofErr w:type="spellEnd"/>
      <w:r w:rsidR="00337D99">
        <w:rPr>
          <w:rFonts w:ascii="Times New Roman" w:hAnsi="Times New Roman" w:cs="Times New Roman"/>
        </w:rPr>
        <w:t>, na verdade) de uma pessoa jurídica sem demonstrar por meio de documentos que o é. Um Microempreendedor Individual (MEI) não pode ser contratado em certas situações.</w:t>
      </w:r>
      <w:r w:rsidR="00606298">
        <w:rPr>
          <w:rFonts w:ascii="Times New Roman" w:hAnsi="Times New Roman" w:cs="Times New Roman"/>
        </w:rPr>
        <w:t xml:space="preserve"> </w:t>
      </w:r>
      <w:r w:rsidR="00FC6801">
        <w:rPr>
          <w:rFonts w:ascii="Times New Roman" w:hAnsi="Times New Roman" w:cs="Times New Roman"/>
        </w:rPr>
        <w:t xml:space="preserve">É o que Roberto </w:t>
      </w:r>
      <w:proofErr w:type="spellStart"/>
      <w:r w:rsidR="00FC6801">
        <w:rPr>
          <w:rFonts w:ascii="Times New Roman" w:hAnsi="Times New Roman" w:cs="Times New Roman"/>
        </w:rPr>
        <w:t>Dromi</w:t>
      </w:r>
      <w:proofErr w:type="spellEnd"/>
      <w:r w:rsidR="00FC6801">
        <w:rPr>
          <w:rFonts w:ascii="Times New Roman" w:hAnsi="Times New Roman" w:cs="Times New Roman"/>
        </w:rPr>
        <w:t xml:space="preserve"> chama</w:t>
      </w:r>
      <w:r w:rsidR="008F4477">
        <w:rPr>
          <w:rFonts w:ascii="Times New Roman" w:hAnsi="Times New Roman" w:cs="Times New Roman"/>
        </w:rPr>
        <w:t>,</w:t>
      </w:r>
      <w:r w:rsidR="007E518D">
        <w:rPr>
          <w:rFonts w:ascii="Times New Roman" w:hAnsi="Times New Roman" w:cs="Times New Roman"/>
        </w:rPr>
        <w:t xml:space="preserve"> </w:t>
      </w:r>
      <w:r w:rsidR="008F4477">
        <w:rPr>
          <w:rFonts w:ascii="Times New Roman" w:hAnsi="Times New Roman" w:cs="Times New Roman"/>
        </w:rPr>
        <w:t xml:space="preserve">desde a década de 1970, </w:t>
      </w:r>
      <w:r w:rsidR="00FC6801">
        <w:rPr>
          <w:rFonts w:ascii="Times New Roman" w:hAnsi="Times New Roman" w:cs="Times New Roman"/>
        </w:rPr>
        <w:t xml:space="preserve">de </w:t>
      </w:r>
      <w:r w:rsidR="00606298">
        <w:rPr>
          <w:rFonts w:ascii="Times New Roman" w:hAnsi="Times New Roman" w:cs="Times New Roman"/>
        </w:rPr>
        <w:t>requisitos subjetivos de “</w:t>
      </w:r>
      <w:proofErr w:type="spellStart"/>
      <w:r w:rsidR="00606298" w:rsidRPr="00606298">
        <w:rPr>
          <w:rFonts w:ascii="Times New Roman" w:hAnsi="Times New Roman" w:cs="Times New Roman"/>
          <w:i/>
          <w:iCs/>
        </w:rPr>
        <w:t>capacidad</w:t>
      </w:r>
      <w:proofErr w:type="spellEnd"/>
      <w:r w:rsidR="00606298">
        <w:rPr>
          <w:rFonts w:ascii="Times New Roman" w:hAnsi="Times New Roman" w:cs="Times New Roman"/>
        </w:rPr>
        <w:t>” e “</w:t>
      </w:r>
      <w:proofErr w:type="spellStart"/>
      <w:r w:rsidR="00606298" w:rsidRPr="00606298">
        <w:rPr>
          <w:rFonts w:ascii="Times New Roman" w:hAnsi="Times New Roman" w:cs="Times New Roman"/>
          <w:i/>
          <w:iCs/>
        </w:rPr>
        <w:t>representación</w:t>
      </w:r>
      <w:proofErr w:type="spellEnd"/>
      <w:r w:rsidR="00606298">
        <w:rPr>
          <w:rFonts w:ascii="Times New Roman" w:hAnsi="Times New Roman" w:cs="Times New Roman"/>
        </w:rPr>
        <w:t>”.</w:t>
      </w:r>
      <w:r w:rsidR="00606298">
        <w:rPr>
          <w:rStyle w:val="Refdenotaderodap"/>
          <w:rFonts w:ascii="Times New Roman" w:hAnsi="Times New Roman" w:cs="Times New Roman"/>
        </w:rPr>
        <w:footnoteReference w:id="3"/>
      </w:r>
    </w:p>
    <w:p w14:paraId="4DD37590" w14:textId="0B7C6273" w:rsidR="00337D99" w:rsidRDefault="00337D99" w:rsidP="00910858">
      <w:pPr>
        <w:spacing w:line="360" w:lineRule="auto"/>
        <w:ind w:firstLine="1134"/>
        <w:jc w:val="both"/>
        <w:rPr>
          <w:rFonts w:ascii="Times New Roman" w:hAnsi="Times New Roman" w:cs="Times New Roman"/>
        </w:rPr>
      </w:pPr>
      <w:r>
        <w:rPr>
          <w:rFonts w:ascii="Times New Roman" w:hAnsi="Times New Roman" w:cs="Times New Roman"/>
        </w:rPr>
        <w:t xml:space="preserve">Desse modo, existem documentos exigíveis por decorrência lógica do ajuste que se pretende realizar e da forma exigida. </w:t>
      </w:r>
      <w:r w:rsidR="00E72E0A">
        <w:rPr>
          <w:rFonts w:ascii="Times New Roman" w:hAnsi="Times New Roman" w:cs="Times New Roman"/>
        </w:rPr>
        <w:t xml:space="preserve">No exemplo de um jovem de 16 anos que alega agir em nome de uma empresa que pretende ser contratada, há uma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sidR="00F32B99">
        <w:rPr>
          <w:rFonts w:ascii="Times New Roman" w:hAnsi="Times New Roman" w:cs="Times New Roman"/>
        </w:rPr>
        <w:t>, decorrente das exigências jurídicas de forma,</w:t>
      </w:r>
      <w:r w:rsidR="00E72E0A">
        <w:rPr>
          <w:rFonts w:ascii="Times New Roman" w:hAnsi="Times New Roman" w:cs="Times New Roman"/>
        </w:rPr>
        <w:t xml:space="preserve"> da apresentação</w:t>
      </w:r>
      <w:r w:rsidR="00F32B99">
        <w:rPr>
          <w:rFonts w:ascii="Times New Roman" w:hAnsi="Times New Roman" w:cs="Times New Roman"/>
        </w:rPr>
        <w:t xml:space="preserve"> de documento pessoal de identidade, de maior de idade que haja na função de seu assistente, </w:t>
      </w:r>
      <w:r w:rsidR="007125DD">
        <w:rPr>
          <w:rFonts w:ascii="Times New Roman" w:hAnsi="Times New Roman" w:cs="Times New Roman"/>
        </w:rPr>
        <w:t xml:space="preserve">do documento de identidade desse assistente, bem como de </w:t>
      </w:r>
      <w:r w:rsidR="00F32B99">
        <w:rPr>
          <w:rFonts w:ascii="Times New Roman" w:hAnsi="Times New Roman" w:cs="Times New Roman"/>
        </w:rPr>
        <w:lastRenderedPageBreak/>
        <w:t xml:space="preserve">documentos da empresa que comprovem a sua existência e que aquela pessoa física pode </w:t>
      </w:r>
      <w:proofErr w:type="spellStart"/>
      <w:r w:rsidR="00F32B99">
        <w:rPr>
          <w:rFonts w:ascii="Times New Roman" w:hAnsi="Times New Roman" w:cs="Times New Roman"/>
        </w:rPr>
        <w:t>presentá-la</w:t>
      </w:r>
      <w:proofErr w:type="spellEnd"/>
      <w:r w:rsidR="00F32B99">
        <w:rPr>
          <w:rFonts w:ascii="Times New Roman" w:hAnsi="Times New Roman" w:cs="Times New Roman"/>
        </w:rPr>
        <w:t>.</w:t>
      </w:r>
    </w:p>
    <w:p w14:paraId="57B15F1B" w14:textId="6A9837E9" w:rsidR="00F32B99" w:rsidRDefault="00F32B99" w:rsidP="00910858">
      <w:pPr>
        <w:spacing w:line="360" w:lineRule="auto"/>
        <w:ind w:firstLine="1134"/>
        <w:jc w:val="both"/>
        <w:rPr>
          <w:rFonts w:ascii="Times New Roman" w:hAnsi="Times New Roman" w:cs="Times New Roman"/>
        </w:rPr>
      </w:pPr>
      <w:r>
        <w:rPr>
          <w:rFonts w:ascii="Times New Roman" w:hAnsi="Times New Roman" w:cs="Times New Roman"/>
        </w:rPr>
        <w:t xml:space="preserve">Nessa toada, torna-se claro que a documentação exigida para fins de </w:t>
      </w:r>
      <w:r w:rsidRPr="00F32B99">
        <w:rPr>
          <w:rFonts w:ascii="Times New Roman" w:hAnsi="Times New Roman" w:cs="Times New Roman"/>
          <w:i/>
          <w:iCs/>
        </w:rPr>
        <w:t>habilitação jurídica</w:t>
      </w:r>
      <w:r>
        <w:rPr>
          <w:rFonts w:ascii="Times New Roman" w:hAnsi="Times New Roman" w:cs="Times New Roman"/>
        </w:rPr>
        <w:t xml:space="preserve">, em regra, deve ser exigida por decorrência de uma </w:t>
      </w:r>
      <w:r w:rsidR="00D74FFE" w:rsidRPr="00D74FFE">
        <w:rPr>
          <w:rFonts w:ascii="Times New Roman" w:hAnsi="Times New Roman" w:cs="Times New Roman"/>
          <w:i/>
          <w:iCs/>
        </w:rPr>
        <w:t>necessidade de comprovação de capacidade e legitimidade civil</w:t>
      </w:r>
      <w:r>
        <w:rPr>
          <w:rFonts w:ascii="Times New Roman" w:hAnsi="Times New Roman" w:cs="Times New Roman"/>
        </w:rPr>
        <w:t>. Não há como dispensar, em situações ordinárias, que seja demonstrada a exi</w:t>
      </w:r>
      <w:r w:rsidR="007125DD">
        <w:rPr>
          <w:rFonts w:ascii="Times New Roman" w:hAnsi="Times New Roman" w:cs="Times New Roman"/>
        </w:rPr>
        <w:t>stê</w:t>
      </w:r>
      <w:r>
        <w:rPr>
          <w:rFonts w:ascii="Times New Roman" w:hAnsi="Times New Roman" w:cs="Times New Roman"/>
        </w:rPr>
        <w:t>ncia da pessoa jurídica, ou que a pessoa física comprove a sua identidade e que tem poderes para agir em nome da empresa. Também estão no bojo dessa documentação as exigências de direito civil e empresarial referentes à comprovação de que a empresa pode atuar naquele ramo de atividade.</w:t>
      </w:r>
    </w:p>
    <w:p w14:paraId="22183B09" w14:textId="59BE1358" w:rsidR="00F32B99" w:rsidRDefault="00F32B99" w:rsidP="00F32B99">
      <w:pPr>
        <w:spacing w:line="360" w:lineRule="auto"/>
        <w:ind w:firstLine="1134"/>
        <w:jc w:val="both"/>
        <w:rPr>
          <w:rFonts w:ascii="Times New Roman" w:hAnsi="Times New Roman" w:cs="Times New Roman"/>
        </w:rPr>
      </w:pPr>
      <w:r>
        <w:rPr>
          <w:rFonts w:ascii="Times New Roman" w:hAnsi="Times New Roman" w:cs="Times New Roman"/>
        </w:rPr>
        <w:t>Não à toa, o art. 66 da Lei 14.133/2021 tem redação bastante singela:</w:t>
      </w:r>
    </w:p>
    <w:p w14:paraId="5A37DFD5" w14:textId="77777777" w:rsidR="00F32B99" w:rsidRDefault="00F32B99" w:rsidP="00F32B99">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F32B99">
        <w:rPr>
          <w:rFonts w:ascii="Times New Roman" w:hAnsi="Times New Roman" w:cs="Times New Roman"/>
          <w:sz w:val="22"/>
          <w:szCs w:val="22"/>
        </w:rPr>
        <w:t>Art. 66.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p>
    <w:p w14:paraId="190A3FA7" w14:textId="77777777" w:rsidR="007125DD" w:rsidRPr="00F32B99" w:rsidRDefault="007125DD" w:rsidP="00F32B99">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6E733660" w14:textId="33ED496D" w:rsidR="00900C25" w:rsidRDefault="00F32B99" w:rsidP="00900C25">
      <w:pPr>
        <w:spacing w:line="360" w:lineRule="auto"/>
        <w:ind w:firstLine="1134"/>
        <w:jc w:val="both"/>
        <w:rPr>
          <w:rFonts w:ascii="Times New Roman" w:hAnsi="Times New Roman" w:cs="Times New Roman"/>
        </w:rPr>
      </w:pPr>
      <w:r>
        <w:rPr>
          <w:rFonts w:ascii="Times New Roman" w:hAnsi="Times New Roman" w:cs="Times New Roman"/>
        </w:rPr>
        <w:t xml:space="preserve">Importante ressaltar que a exigência de tais documentos deve ocorrer sob o prisma do </w:t>
      </w:r>
      <w:r w:rsidR="00900C25">
        <w:rPr>
          <w:rFonts w:ascii="Times New Roman" w:hAnsi="Times New Roman" w:cs="Times New Roman"/>
        </w:rPr>
        <w:t>“</w:t>
      </w:r>
      <w:r w:rsidR="00900C25" w:rsidRPr="00900C25">
        <w:rPr>
          <w:rFonts w:ascii="Times New Roman" w:hAnsi="Times New Roman" w:cs="Times New Roman"/>
        </w:rPr>
        <w:t>princípio do formalismo moderado – que não deve ser confundido com informalismo –, respeitadas as solenidades quando exigidas por lei</w:t>
      </w:r>
      <w:r w:rsidR="00900C25">
        <w:rPr>
          <w:rFonts w:ascii="Times New Roman" w:hAnsi="Times New Roman" w:cs="Times New Roman"/>
        </w:rPr>
        <w:t>”</w:t>
      </w:r>
      <w:r w:rsidR="00900C25">
        <w:rPr>
          <w:rStyle w:val="Refdenotaderodap"/>
          <w:rFonts w:ascii="Times New Roman" w:hAnsi="Times New Roman" w:cs="Times New Roman"/>
        </w:rPr>
        <w:footnoteReference w:id="4"/>
      </w:r>
      <w:r w:rsidR="00900C25">
        <w:rPr>
          <w:rFonts w:ascii="Times New Roman" w:hAnsi="Times New Roman" w:cs="Times New Roman"/>
        </w:rPr>
        <w:t>.</w:t>
      </w:r>
      <w:r>
        <w:rPr>
          <w:rFonts w:ascii="Times New Roman" w:hAnsi="Times New Roman" w:cs="Times New Roman"/>
        </w:rPr>
        <w:t xml:space="preserve"> </w:t>
      </w:r>
      <w:r w:rsidR="00900C25">
        <w:rPr>
          <w:rFonts w:ascii="Times New Roman" w:hAnsi="Times New Roman" w:cs="Times New Roman"/>
        </w:rPr>
        <w:t>Assim, somente podem ser exigidos aqueles documentos que sejam imprescindíveis para comprovar a situação de existência e capacidade jurídica do licitante.</w:t>
      </w:r>
    </w:p>
    <w:p w14:paraId="5444CD47" w14:textId="4489FF44" w:rsidR="00F32B99" w:rsidRDefault="00900C25" w:rsidP="00F32B99">
      <w:pPr>
        <w:spacing w:line="360" w:lineRule="auto"/>
        <w:ind w:firstLine="1134"/>
        <w:jc w:val="both"/>
        <w:rPr>
          <w:rFonts w:ascii="Times New Roman" w:hAnsi="Times New Roman" w:cs="Times New Roman"/>
        </w:rPr>
      </w:pPr>
      <w:r>
        <w:rPr>
          <w:rFonts w:ascii="Times New Roman" w:hAnsi="Times New Roman" w:cs="Times New Roman"/>
        </w:rPr>
        <w:t xml:space="preserve">Necessário apontar, também, que a dispensa dos documentos de habilitação possibilitada pelo art. 70, inciso III, da Lei 14.133/2021 tem pouco resultado prático sobre a habilitação jurídica, eis que estes são exigidos por </w:t>
      </w:r>
      <w:r w:rsidR="00D74FFE" w:rsidRPr="00D74FFE">
        <w:rPr>
          <w:rFonts w:ascii="Times New Roman" w:hAnsi="Times New Roman" w:cs="Times New Roman"/>
          <w:i/>
          <w:iCs/>
        </w:rPr>
        <w:t>necessidade de comprovação de capacidade e legitimidade civil</w:t>
      </w:r>
      <w:r w:rsidR="00D74FFE" w:rsidRPr="00D74FFE">
        <w:rPr>
          <w:rFonts w:ascii="Times New Roman" w:hAnsi="Times New Roman" w:cs="Times New Roman"/>
          <w:i/>
          <w:iCs/>
        </w:rPr>
        <w:t xml:space="preserve"> </w:t>
      </w:r>
      <w:r>
        <w:rPr>
          <w:rFonts w:ascii="Times New Roman" w:hAnsi="Times New Roman" w:cs="Times New Roman"/>
        </w:rPr>
        <w:t>da contratação, já sendo vedada</w:t>
      </w:r>
      <w:r w:rsidR="007125DD">
        <w:rPr>
          <w:rFonts w:ascii="Times New Roman" w:hAnsi="Times New Roman" w:cs="Times New Roman"/>
        </w:rPr>
        <w:t xml:space="preserve"> pelo art. 66</w:t>
      </w:r>
      <w:r>
        <w:rPr>
          <w:rFonts w:ascii="Times New Roman" w:hAnsi="Times New Roman" w:cs="Times New Roman"/>
        </w:rPr>
        <w:t xml:space="preserve"> a exigência de documentos desnecessários</w:t>
      </w:r>
      <w:r w:rsidR="007125DD">
        <w:rPr>
          <w:rFonts w:ascii="Times New Roman" w:hAnsi="Times New Roman" w:cs="Times New Roman"/>
        </w:rPr>
        <w:t xml:space="preserve"> para esse fim</w:t>
      </w:r>
      <w:r>
        <w:rPr>
          <w:rFonts w:ascii="Times New Roman" w:hAnsi="Times New Roman" w:cs="Times New Roman"/>
        </w:rPr>
        <w:t>.</w:t>
      </w:r>
    </w:p>
    <w:p w14:paraId="37FC57B6" w14:textId="77777777" w:rsidR="00AC530B" w:rsidRDefault="00AC530B" w:rsidP="00F32B99">
      <w:pPr>
        <w:spacing w:line="360" w:lineRule="auto"/>
        <w:ind w:firstLine="1134"/>
        <w:jc w:val="both"/>
        <w:rPr>
          <w:rFonts w:ascii="Times New Roman" w:hAnsi="Times New Roman" w:cs="Times New Roman"/>
        </w:rPr>
      </w:pPr>
    </w:p>
    <w:p w14:paraId="150DF975" w14:textId="7F0A49E5" w:rsidR="00AC530B" w:rsidRPr="00AC530B" w:rsidRDefault="00AC530B" w:rsidP="00F32B99">
      <w:pPr>
        <w:spacing w:line="360" w:lineRule="auto"/>
        <w:ind w:firstLine="1134"/>
        <w:jc w:val="both"/>
        <w:rPr>
          <w:rFonts w:ascii="Times New Roman" w:hAnsi="Times New Roman" w:cs="Times New Roman"/>
          <w:b/>
          <w:bCs/>
        </w:rPr>
      </w:pPr>
      <w:r w:rsidRPr="00AC530B">
        <w:rPr>
          <w:rFonts w:ascii="Times New Roman" w:hAnsi="Times New Roman" w:cs="Times New Roman"/>
          <w:b/>
          <w:bCs/>
        </w:rPr>
        <w:t>Implemento de política pública</w:t>
      </w:r>
    </w:p>
    <w:p w14:paraId="445D55F3" w14:textId="0BC82330" w:rsidR="00900C25" w:rsidRDefault="00900C25" w:rsidP="00F32B99">
      <w:pPr>
        <w:spacing w:line="360" w:lineRule="auto"/>
        <w:ind w:firstLine="1134"/>
        <w:jc w:val="both"/>
        <w:rPr>
          <w:rFonts w:ascii="Times New Roman" w:hAnsi="Times New Roman" w:cs="Times New Roman"/>
        </w:rPr>
      </w:pPr>
      <w:r>
        <w:rPr>
          <w:rFonts w:ascii="Times New Roman" w:hAnsi="Times New Roman" w:cs="Times New Roman"/>
        </w:rPr>
        <w:t>Existem, ainda, aqueles documentos de habilitação que são exigidos em decorrência de política pública</w:t>
      </w:r>
      <w:r w:rsidR="00B75FBA">
        <w:rPr>
          <w:rFonts w:ascii="Times New Roman" w:hAnsi="Times New Roman" w:cs="Times New Roman"/>
        </w:rPr>
        <w:t xml:space="preserve"> adotada pelo Estado. </w:t>
      </w:r>
      <w:r w:rsidR="007125DD">
        <w:rPr>
          <w:rFonts w:ascii="Times New Roman" w:hAnsi="Times New Roman" w:cs="Times New Roman"/>
        </w:rPr>
        <w:t>Esses</w:t>
      </w:r>
      <w:r w:rsidR="00B75FBA">
        <w:rPr>
          <w:rFonts w:ascii="Times New Roman" w:hAnsi="Times New Roman" w:cs="Times New Roman"/>
        </w:rPr>
        <w:t xml:space="preserve"> documentos não são exigidos em contratações regidas pelo direito privado e não têm relação direta com a boa prestação do objeto a ser contratado. A sua exigência ocorre porque o Legislador </w:t>
      </w:r>
      <w:r w:rsidR="00B75FBA" w:rsidRPr="007125DD">
        <w:rPr>
          <w:rFonts w:ascii="Times New Roman" w:hAnsi="Times New Roman" w:cs="Times New Roman"/>
          <w:i/>
          <w:iCs/>
        </w:rPr>
        <w:t>escolheu</w:t>
      </w:r>
      <w:r w:rsidR="00B75FBA">
        <w:rPr>
          <w:rFonts w:ascii="Times New Roman" w:hAnsi="Times New Roman" w:cs="Times New Roman"/>
        </w:rPr>
        <w:t xml:space="preserve"> utilizar </w:t>
      </w:r>
      <w:r w:rsidR="00B75FBA">
        <w:rPr>
          <w:rFonts w:ascii="Times New Roman" w:hAnsi="Times New Roman" w:cs="Times New Roman"/>
        </w:rPr>
        <w:lastRenderedPageBreak/>
        <w:t>esse importante naco do PIB do país, as contratações públicas, para incentivar os licitantes a respeitarem determinados programas</w:t>
      </w:r>
      <w:r w:rsidR="00133606">
        <w:rPr>
          <w:rFonts w:ascii="Times New Roman" w:hAnsi="Times New Roman" w:cs="Times New Roman"/>
        </w:rPr>
        <w:t>, a adotarem determina</w:t>
      </w:r>
      <w:r w:rsidR="0045681E">
        <w:rPr>
          <w:rFonts w:ascii="Times New Roman" w:hAnsi="Times New Roman" w:cs="Times New Roman"/>
        </w:rPr>
        <w:t>da</w:t>
      </w:r>
      <w:r w:rsidR="00133606">
        <w:rPr>
          <w:rFonts w:ascii="Times New Roman" w:hAnsi="Times New Roman" w:cs="Times New Roman"/>
        </w:rPr>
        <w:t xml:space="preserve"> conduta.</w:t>
      </w:r>
    </w:p>
    <w:p w14:paraId="4A4CF0AF" w14:textId="101917A8" w:rsidR="00133606" w:rsidRDefault="00133606" w:rsidP="00F32B99">
      <w:pPr>
        <w:spacing w:line="360" w:lineRule="auto"/>
        <w:ind w:firstLine="1134"/>
        <w:jc w:val="both"/>
        <w:rPr>
          <w:rFonts w:ascii="Times New Roman" w:hAnsi="Times New Roman" w:cs="Times New Roman"/>
        </w:rPr>
      </w:pPr>
      <w:r>
        <w:rPr>
          <w:rFonts w:ascii="Times New Roman" w:hAnsi="Times New Roman" w:cs="Times New Roman"/>
        </w:rPr>
        <w:t xml:space="preserve">Por não serem exigidos a partir de uma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Pr>
          <w:rFonts w:ascii="Times New Roman" w:hAnsi="Times New Roman" w:cs="Times New Roman"/>
        </w:rPr>
        <w:t xml:space="preserve">, do poder de polícia administrativa ou para garantir a boa execução do objeto, mas sim por causa de uma </w:t>
      </w:r>
      <w:r w:rsidRPr="00133606">
        <w:rPr>
          <w:rFonts w:ascii="Times New Roman" w:hAnsi="Times New Roman" w:cs="Times New Roman"/>
          <w:i/>
          <w:iCs/>
        </w:rPr>
        <w:t>escolha política</w:t>
      </w:r>
      <w:r>
        <w:rPr>
          <w:rFonts w:ascii="Times New Roman" w:hAnsi="Times New Roman" w:cs="Times New Roman"/>
        </w:rPr>
        <w:t xml:space="preserve"> do Legislador, apenas esse tem o poder para dispensá-las, em circunstâncias normais.</w:t>
      </w:r>
    </w:p>
    <w:p w14:paraId="5AEF0E72" w14:textId="11421718" w:rsidR="00133606" w:rsidRDefault="00133606" w:rsidP="00F32B99">
      <w:pPr>
        <w:spacing w:line="360" w:lineRule="auto"/>
        <w:ind w:firstLine="1134"/>
        <w:jc w:val="both"/>
        <w:rPr>
          <w:rFonts w:ascii="Times New Roman" w:hAnsi="Times New Roman" w:cs="Times New Roman"/>
        </w:rPr>
      </w:pPr>
      <w:r>
        <w:rPr>
          <w:rFonts w:ascii="Times New Roman" w:hAnsi="Times New Roman" w:cs="Times New Roman"/>
        </w:rPr>
        <w:t xml:space="preserve">São exemplos de documentos de habilitação para implemento de política pública a habilitação social, fiscal e trabalhista. Também constituem esse grupo </w:t>
      </w:r>
      <w:r w:rsidR="007125DD">
        <w:rPr>
          <w:rFonts w:ascii="Times New Roman" w:hAnsi="Times New Roman" w:cs="Times New Roman"/>
        </w:rPr>
        <w:t xml:space="preserve">as </w:t>
      </w:r>
      <w:r>
        <w:rPr>
          <w:rFonts w:ascii="Times New Roman" w:hAnsi="Times New Roman" w:cs="Times New Roman"/>
        </w:rPr>
        <w:t xml:space="preserve">exigências que incentivem as empresas a determinadas práticas que são recomendáveis, mas que não obrigatórias nas contratações de direito privado, como ocorre quando se exige a implementação de programa de </w:t>
      </w:r>
      <w:r w:rsidRPr="00133606">
        <w:rPr>
          <w:rFonts w:ascii="Times New Roman" w:hAnsi="Times New Roman" w:cs="Times New Roman"/>
          <w:i/>
          <w:iCs/>
        </w:rPr>
        <w:t>compliance</w:t>
      </w:r>
      <w:r>
        <w:rPr>
          <w:rFonts w:ascii="Times New Roman" w:hAnsi="Times New Roman" w:cs="Times New Roman"/>
        </w:rPr>
        <w:t>.</w:t>
      </w:r>
    </w:p>
    <w:p w14:paraId="0AA022DF" w14:textId="1909D556" w:rsidR="00133606" w:rsidRDefault="00133606" w:rsidP="00F32B99">
      <w:pPr>
        <w:spacing w:line="360" w:lineRule="auto"/>
        <w:ind w:firstLine="1134"/>
        <w:jc w:val="both"/>
        <w:rPr>
          <w:rFonts w:ascii="Times New Roman" w:hAnsi="Times New Roman" w:cs="Times New Roman"/>
        </w:rPr>
      </w:pPr>
      <w:r>
        <w:rPr>
          <w:rFonts w:ascii="Times New Roman" w:hAnsi="Times New Roman" w:cs="Times New Roman"/>
        </w:rPr>
        <w:t>É sob</w:t>
      </w:r>
      <w:r w:rsidR="007125DD">
        <w:rPr>
          <w:rFonts w:ascii="Times New Roman" w:hAnsi="Times New Roman" w:cs="Times New Roman"/>
        </w:rPr>
        <w:t>re</w:t>
      </w:r>
      <w:r>
        <w:rPr>
          <w:rFonts w:ascii="Times New Roman" w:hAnsi="Times New Roman" w:cs="Times New Roman"/>
        </w:rPr>
        <w:t xml:space="preserve"> esses documentos que faz mais sentido a dispensa de habilitação do art. 70, inciso III, da Lei 14.133/2021. Como </w:t>
      </w:r>
      <w:r w:rsidR="00EB503B">
        <w:rPr>
          <w:rFonts w:ascii="Times New Roman" w:hAnsi="Times New Roman" w:cs="Times New Roman"/>
        </w:rPr>
        <w:t>o Legislador os exigiu por uma decisão política, este pode igualmente dispensá-los nas ocasiões que julgar conveniente.</w:t>
      </w:r>
      <w:r w:rsidR="00614211">
        <w:rPr>
          <w:rFonts w:ascii="Times New Roman" w:hAnsi="Times New Roman" w:cs="Times New Roman"/>
        </w:rPr>
        <w:t xml:space="preserve"> Importante mencionar que há divergência doutrinária quanto à </w:t>
      </w:r>
      <w:r w:rsidR="007E518D">
        <w:rPr>
          <w:rFonts w:ascii="Times New Roman" w:hAnsi="Times New Roman" w:cs="Times New Roman"/>
        </w:rPr>
        <w:t xml:space="preserve">possível </w:t>
      </w:r>
      <w:r w:rsidR="00614211">
        <w:rPr>
          <w:rFonts w:ascii="Times New Roman" w:hAnsi="Times New Roman" w:cs="Times New Roman"/>
        </w:rPr>
        <w:t>obrigatoriedade de se “</w:t>
      </w:r>
      <w:r w:rsidR="00614211" w:rsidRPr="00614211">
        <w:rPr>
          <w:rFonts w:ascii="Times New Roman" w:hAnsi="Times New Roman" w:cs="Times New Roman"/>
        </w:rPr>
        <w:t>exigir ao menos os documentos de habilitação de regularidade com a seguridade social</w:t>
      </w:r>
      <w:r w:rsidR="007E518D">
        <w:rPr>
          <w:rFonts w:ascii="Times New Roman" w:hAnsi="Times New Roman" w:cs="Times New Roman"/>
        </w:rPr>
        <w:t xml:space="preserve"> </w:t>
      </w:r>
      <w:r w:rsidR="007E518D" w:rsidRPr="007E518D">
        <w:rPr>
          <w:rFonts w:ascii="Times New Roman" w:hAnsi="Times New Roman" w:cs="Times New Roman"/>
        </w:rPr>
        <w:t>(com previsão constitucional no art. 195, § 3º, da Constituição) e a Certidão Negativa de Débitos Trabalhistas (CNDT)</w:t>
      </w:r>
      <w:r w:rsidR="00614211">
        <w:rPr>
          <w:rFonts w:ascii="Times New Roman" w:hAnsi="Times New Roman" w:cs="Times New Roman"/>
        </w:rPr>
        <w:t>”</w:t>
      </w:r>
      <w:r w:rsidR="007E518D">
        <w:rPr>
          <w:rStyle w:val="Refdenotaderodap"/>
          <w:rFonts w:ascii="Times New Roman" w:hAnsi="Times New Roman" w:cs="Times New Roman"/>
        </w:rPr>
        <w:footnoteReference w:id="5"/>
      </w:r>
      <w:r w:rsidR="007E518D">
        <w:rPr>
          <w:rFonts w:ascii="Times New Roman" w:hAnsi="Times New Roman" w:cs="Times New Roman"/>
        </w:rPr>
        <w:t xml:space="preserve"> mesmo nesses casos.</w:t>
      </w:r>
    </w:p>
    <w:p w14:paraId="0A3C46AA" w14:textId="77777777" w:rsidR="00EB503B" w:rsidRDefault="00EB503B" w:rsidP="00EB503B">
      <w:pPr>
        <w:spacing w:line="360" w:lineRule="auto"/>
        <w:ind w:firstLine="1134"/>
        <w:jc w:val="both"/>
        <w:rPr>
          <w:rFonts w:ascii="Times New Roman" w:hAnsi="Times New Roman" w:cs="Times New Roman"/>
        </w:rPr>
      </w:pPr>
      <w:r>
        <w:rPr>
          <w:rFonts w:ascii="Times New Roman" w:hAnsi="Times New Roman" w:cs="Times New Roman"/>
        </w:rPr>
        <w:t>Importante salientar que essa é a regra geral. Como exploramos em outro trabalho</w:t>
      </w:r>
      <w:r>
        <w:rPr>
          <w:rStyle w:val="Refdenotaderodap"/>
          <w:rFonts w:ascii="Times New Roman" w:hAnsi="Times New Roman" w:cs="Times New Roman"/>
        </w:rPr>
        <w:footnoteReference w:id="6"/>
      </w:r>
      <w:r>
        <w:rPr>
          <w:rFonts w:ascii="Times New Roman" w:hAnsi="Times New Roman" w:cs="Times New Roman"/>
        </w:rPr>
        <w:t xml:space="preserve">, </w:t>
      </w:r>
      <w:r w:rsidRPr="00EB503B">
        <w:rPr>
          <w:rFonts w:ascii="Times New Roman" w:hAnsi="Times New Roman" w:cs="Times New Roman"/>
        </w:rPr>
        <w:t>“</w:t>
      </w:r>
      <w:r>
        <w:rPr>
          <w:rFonts w:ascii="Times New Roman" w:hAnsi="Times New Roman" w:cs="Times New Roman"/>
        </w:rPr>
        <w:t>é</w:t>
      </w:r>
      <w:r w:rsidRPr="00EB503B">
        <w:rPr>
          <w:rFonts w:ascii="Times New Roman" w:hAnsi="Times New Roman" w:cs="Times New Roman"/>
        </w:rPr>
        <w:t xml:space="preserve"> claro que há situações em que a norma-regra traz a ponderação de valores ‘quase por completo’, mas ainda assim caberá ao intérprete uma margem – maior, menor ou mínima – para considerar os elementos do caso concreto”</w:t>
      </w:r>
      <w:r>
        <w:rPr>
          <w:rStyle w:val="Refdenotaderodap"/>
          <w:rFonts w:ascii="Times New Roman" w:hAnsi="Times New Roman" w:cs="Times New Roman"/>
          <w:sz w:val="22"/>
          <w:szCs w:val="22"/>
        </w:rPr>
        <w:footnoteReference w:id="7"/>
      </w:r>
      <w:r>
        <w:rPr>
          <w:rFonts w:ascii="Times New Roman" w:hAnsi="Times New Roman" w:cs="Times New Roman"/>
        </w:rPr>
        <w:t xml:space="preserve">. </w:t>
      </w:r>
    </w:p>
    <w:p w14:paraId="4D87FA91" w14:textId="015436A4" w:rsidR="00EB503B" w:rsidRPr="00EB503B" w:rsidRDefault="00EB503B" w:rsidP="00EB503B">
      <w:pPr>
        <w:spacing w:line="360" w:lineRule="auto"/>
        <w:ind w:firstLine="1134"/>
        <w:jc w:val="both"/>
        <w:rPr>
          <w:rFonts w:ascii="Times New Roman" w:hAnsi="Times New Roman" w:cs="Times New Roman"/>
        </w:rPr>
      </w:pPr>
      <w:r>
        <w:rPr>
          <w:rFonts w:ascii="Times New Roman" w:hAnsi="Times New Roman" w:cs="Times New Roman"/>
        </w:rPr>
        <w:t xml:space="preserve">Assim, ainda que não esteja previsto na Lei, o intérprete deve ter a flexibilidade para dispensar esses documentos em situações excepcionalíssimas, em que </w:t>
      </w:r>
      <w:r>
        <w:rPr>
          <w:rFonts w:ascii="Times New Roman" w:hAnsi="Times New Roman" w:cs="Times New Roman"/>
        </w:rPr>
        <w:lastRenderedPageBreak/>
        <w:t>não seja possível exigi-los sem que haja um acentuado prejuízo ao interesse público, quase que como uma “excludente de culpabilidade” por “inexigibilidade de conduta diversa”, tomando por empréstimo esses conceitos do direito penal. Podemos citar como exemplo: a contratação de um serviço prestado em regime de monopólio; a contratação por inexigibilidade de licitação por fornecedor exclusivo com exclusividade absoluta de objeto imprescindível e insubstituível; contratação emergencial em que não seja possível contra</w:t>
      </w:r>
      <w:r w:rsidR="00AC530B">
        <w:rPr>
          <w:rFonts w:ascii="Times New Roman" w:hAnsi="Times New Roman" w:cs="Times New Roman"/>
        </w:rPr>
        <w:t>tar outro prestador.</w:t>
      </w:r>
    </w:p>
    <w:p w14:paraId="4885C382" w14:textId="77777777" w:rsidR="00F32B99" w:rsidRDefault="00F32B99" w:rsidP="00F32B99">
      <w:pPr>
        <w:spacing w:line="360" w:lineRule="auto"/>
        <w:ind w:firstLine="1134"/>
        <w:jc w:val="both"/>
        <w:rPr>
          <w:rFonts w:ascii="Times New Roman" w:hAnsi="Times New Roman" w:cs="Times New Roman"/>
        </w:rPr>
      </w:pPr>
    </w:p>
    <w:p w14:paraId="0E0860AA" w14:textId="4419B3F2" w:rsidR="00022D17" w:rsidRPr="00AC530B" w:rsidRDefault="00AC530B" w:rsidP="00910858">
      <w:pPr>
        <w:spacing w:line="360" w:lineRule="auto"/>
        <w:ind w:firstLine="1134"/>
        <w:jc w:val="both"/>
        <w:rPr>
          <w:rFonts w:ascii="Times New Roman" w:hAnsi="Times New Roman" w:cs="Times New Roman"/>
          <w:b/>
          <w:bCs/>
        </w:rPr>
      </w:pPr>
      <w:r w:rsidRPr="00AC530B">
        <w:rPr>
          <w:rFonts w:ascii="Times New Roman" w:hAnsi="Times New Roman" w:cs="Times New Roman"/>
          <w:b/>
          <w:bCs/>
        </w:rPr>
        <w:t xml:space="preserve">Poder de polícia </w:t>
      </w:r>
      <w:r w:rsidR="00EE5E18">
        <w:rPr>
          <w:rFonts w:ascii="Times New Roman" w:hAnsi="Times New Roman" w:cs="Times New Roman"/>
          <w:b/>
          <w:bCs/>
        </w:rPr>
        <w:t>administrativa</w:t>
      </w:r>
    </w:p>
    <w:p w14:paraId="0ECBB0C2" w14:textId="50656143" w:rsidR="005B14F0" w:rsidRDefault="00EE5E18" w:rsidP="00FC6801">
      <w:pPr>
        <w:spacing w:line="360" w:lineRule="auto"/>
        <w:ind w:firstLine="1134"/>
        <w:jc w:val="both"/>
        <w:rPr>
          <w:rFonts w:ascii="Times New Roman" w:hAnsi="Times New Roman" w:cs="Times New Roman"/>
        </w:rPr>
      </w:pPr>
      <w:r>
        <w:rPr>
          <w:rFonts w:ascii="Times New Roman" w:hAnsi="Times New Roman" w:cs="Times New Roman"/>
        </w:rPr>
        <w:t xml:space="preserve">Há documentos </w:t>
      </w:r>
      <w:r w:rsidR="00FC6801">
        <w:rPr>
          <w:rFonts w:ascii="Times New Roman" w:hAnsi="Times New Roman" w:cs="Times New Roman"/>
        </w:rPr>
        <w:t>cuja exigência não</w:t>
      </w:r>
      <w:r>
        <w:rPr>
          <w:rFonts w:ascii="Times New Roman" w:hAnsi="Times New Roman" w:cs="Times New Roman"/>
        </w:rPr>
        <w:t xml:space="preserve"> decorre do direito civil ou empresarial, mas do poder de polí</w:t>
      </w:r>
      <w:r w:rsidR="0045681E">
        <w:rPr>
          <w:rFonts w:ascii="Times New Roman" w:hAnsi="Times New Roman" w:cs="Times New Roman"/>
        </w:rPr>
        <w:t>ci</w:t>
      </w:r>
      <w:r>
        <w:rPr>
          <w:rFonts w:ascii="Times New Roman" w:hAnsi="Times New Roman" w:cs="Times New Roman"/>
        </w:rPr>
        <w:t>a administrativa. Maria Sylvia Zanella Di Pietro define poder de polícia como “</w:t>
      </w:r>
      <w:r w:rsidRPr="00EE5E18">
        <w:rPr>
          <w:rFonts w:ascii="Times New Roman" w:hAnsi="Times New Roman" w:cs="Times New Roman"/>
        </w:rPr>
        <w:t>a atividade do Estado consistente em limitar o exercício dos direitos individuais em benefício do interesse público</w:t>
      </w:r>
      <w:r>
        <w:rPr>
          <w:rFonts w:ascii="Times New Roman" w:hAnsi="Times New Roman" w:cs="Times New Roman"/>
        </w:rPr>
        <w:t xml:space="preserve">”. </w:t>
      </w:r>
      <w:r w:rsidR="00FC6801">
        <w:rPr>
          <w:rFonts w:ascii="Times New Roman" w:hAnsi="Times New Roman" w:cs="Times New Roman"/>
        </w:rPr>
        <w:t xml:space="preserve">A </w:t>
      </w:r>
      <w:r w:rsidR="007125DD">
        <w:rPr>
          <w:rFonts w:ascii="Times New Roman" w:hAnsi="Times New Roman" w:cs="Times New Roman"/>
        </w:rPr>
        <w:t>nossa “</w:t>
      </w:r>
      <w:r w:rsidR="00FC6801">
        <w:rPr>
          <w:rFonts w:ascii="Times New Roman" w:hAnsi="Times New Roman" w:cs="Times New Roman"/>
        </w:rPr>
        <w:t>autora maior</w:t>
      </w:r>
      <w:r w:rsidR="007125DD">
        <w:rPr>
          <w:rFonts w:ascii="Times New Roman" w:hAnsi="Times New Roman" w:cs="Times New Roman"/>
        </w:rPr>
        <w:t>”</w:t>
      </w:r>
      <w:r w:rsidR="00FC6801">
        <w:rPr>
          <w:rFonts w:ascii="Times New Roman" w:hAnsi="Times New Roman" w:cs="Times New Roman"/>
        </w:rPr>
        <w:t xml:space="preserve"> diferencia o conceito que nos interessa, o de polícia administrativa, apontando que esta “</w:t>
      </w:r>
      <w:r w:rsidR="00FC6801" w:rsidRPr="00FC6801">
        <w:rPr>
          <w:rFonts w:ascii="Times New Roman" w:hAnsi="Times New Roman" w:cs="Times New Roman"/>
        </w:rPr>
        <w:t>se rege pelo Direito Administrativo, incidindo sobre bens, direitos ou atividades</w:t>
      </w:r>
      <w:r w:rsidR="00FC6801">
        <w:rPr>
          <w:rFonts w:ascii="Times New Roman" w:hAnsi="Times New Roman" w:cs="Times New Roman"/>
        </w:rPr>
        <w:t>” e “</w:t>
      </w:r>
      <w:r w:rsidR="00FC6801" w:rsidRPr="00FC6801">
        <w:rPr>
          <w:rFonts w:ascii="Times New Roman" w:hAnsi="Times New Roman" w:cs="Times New Roman"/>
        </w:rPr>
        <w:t>se reparte entre diversos órgãos da Administração, incluindo, além da própria polícia militar, os vários órgãos de fiscalização aos quais a lei atribua esse mister, como os que atuam nas áreas da saúde, educação, trabalho, previdência e assistência social</w:t>
      </w:r>
      <w:r w:rsidR="00FC6801">
        <w:rPr>
          <w:rFonts w:ascii="Times New Roman" w:hAnsi="Times New Roman" w:cs="Times New Roman"/>
        </w:rPr>
        <w:t>”</w:t>
      </w:r>
      <w:r w:rsidR="00FC6801" w:rsidRPr="00FC6801">
        <w:rPr>
          <w:rFonts w:ascii="Times New Roman" w:hAnsi="Times New Roman" w:cs="Times New Roman"/>
        </w:rPr>
        <w:t>.</w:t>
      </w:r>
      <w:r w:rsidR="00FC6801">
        <w:rPr>
          <w:rStyle w:val="Refdenotaderodap"/>
          <w:rFonts w:ascii="Times New Roman" w:hAnsi="Times New Roman" w:cs="Times New Roman"/>
        </w:rPr>
        <w:footnoteReference w:id="8"/>
      </w:r>
    </w:p>
    <w:p w14:paraId="3B5445F8" w14:textId="1FDC600C" w:rsidR="001F6214" w:rsidRDefault="00E4583F" w:rsidP="00E4583F">
      <w:pPr>
        <w:spacing w:line="360" w:lineRule="auto"/>
        <w:ind w:firstLine="1134"/>
        <w:jc w:val="both"/>
        <w:rPr>
          <w:rFonts w:ascii="Times New Roman" w:hAnsi="Times New Roman" w:cs="Times New Roman"/>
        </w:rPr>
      </w:pPr>
      <w:r>
        <w:rPr>
          <w:rFonts w:ascii="Times New Roman" w:hAnsi="Times New Roman" w:cs="Times New Roman"/>
        </w:rPr>
        <w:t>Celso Antônio Bandeira de Mello é, possivelmente, o autor clássico que trata de forma mais extensiva do tema. Tomemos sua valiosa lição:</w:t>
      </w:r>
    </w:p>
    <w:p w14:paraId="3949FAD7" w14:textId="158F2C3F" w:rsidR="00E4583F" w:rsidRP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Pr>
          <w:rFonts w:ascii="Times New Roman" w:hAnsi="Times New Roman" w:cs="Times New Roman"/>
          <w:sz w:val="22"/>
          <w:szCs w:val="22"/>
        </w:rPr>
        <w:t>“</w:t>
      </w:r>
      <w:r w:rsidRPr="00E4583F">
        <w:rPr>
          <w:rFonts w:ascii="Times New Roman" w:hAnsi="Times New Roman" w:cs="Times New Roman"/>
          <w:sz w:val="22"/>
          <w:szCs w:val="22"/>
        </w:rPr>
        <w:t xml:space="preserve">O poder </w:t>
      </w:r>
      <w:proofErr w:type="spellStart"/>
      <w:r w:rsidRPr="00E4583F">
        <w:rPr>
          <w:rFonts w:ascii="Times New Roman" w:hAnsi="Times New Roman" w:cs="Times New Roman"/>
          <w:sz w:val="22"/>
          <w:szCs w:val="22"/>
        </w:rPr>
        <w:t>expressável</w:t>
      </w:r>
      <w:proofErr w:type="spellEnd"/>
      <w:r w:rsidRPr="00E4583F">
        <w:rPr>
          <w:rFonts w:ascii="Times New Roman" w:hAnsi="Times New Roman" w:cs="Times New Roman"/>
          <w:sz w:val="22"/>
          <w:szCs w:val="22"/>
        </w:rPr>
        <w:t xml:space="preserve"> através da atividade de polícia administrativa é o que resulta de sua qualidade de executora das leis administrativas. E a contraface de seu dever de dar execução a estas leis.</w:t>
      </w:r>
    </w:p>
    <w:p w14:paraId="6628CAB1" w14:textId="54F94CB0" w:rsidR="00E4583F" w:rsidRP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E4583F">
        <w:rPr>
          <w:rFonts w:ascii="Times New Roman" w:hAnsi="Times New Roman" w:cs="Times New Roman"/>
          <w:sz w:val="22"/>
          <w:szCs w:val="22"/>
        </w:rPr>
        <w:t xml:space="preserve">Para cumpri-lo não pode se passar de exercer autoridade - nos termos destas mesmas leis - </w:t>
      </w:r>
      <w:r w:rsidRPr="00E4583F">
        <w:rPr>
          <w:rFonts w:ascii="Times New Roman" w:hAnsi="Times New Roman" w:cs="Times New Roman"/>
          <w:i/>
          <w:iCs/>
          <w:sz w:val="22"/>
          <w:szCs w:val="22"/>
        </w:rPr>
        <w:t>indistintamente sobre todos os cidadãos que estejam sujeitos ao império destas leis</w:t>
      </w:r>
      <w:r w:rsidRPr="00E4583F">
        <w:rPr>
          <w:rFonts w:ascii="Times New Roman" w:hAnsi="Times New Roman" w:cs="Times New Roman"/>
          <w:sz w:val="22"/>
          <w:szCs w:val="22"/>
        </w:rPr>
        <w:t>. Daí a "supremacia geral" que lhe cabe.</w:t>
      </w:r>
    </w:p>
    <w:p w14:paraId="3702B7F7" w14:textId="2A9E04A0" w:rsid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E4583F">
        <w:rPr>
          <w:rFonts w:ascii="Times New Roman" w:hAnsi="Times New Roman" w:cs="Times New Roman"/>
          <w:sz w:val="22"/>
          <w:szCs w:val="22"/>
        </w:rPr>
        <w:t>O poder, pois, que a Administração exerce ao desempenhar seus encargos de polícia administrativa repousa nesta, assim chamada,</w:t>
      </w:r>
      <w:r>
        <w:rPr>
          <w:rFonts w:ascii="Times New Roman" w:hAnsi="Times New Roman" w:cs="Times New Roman"/>
          <w:sz w:val="22"/>
          <w:szCs w:val="22"/>
        </w:rPr>
        <w:t xml:space="preserve"> </w:t>
      </w:r>
      <w:r w:rsidRPr="00E4583F">
        <w:rPr>
          <w:rFonts w:ascii="Times New Roman" w:hAnsi="Times New Roman" w:cs="Times New Roman"/>
          <w:sz w:val="22"/>
          <w:szCs w:val="22"/>
        </w:rPr>
        <w:t>"supremacia geral", que, no fundo, não é senão a própria supremacia das leis em geral, concretizadas através de atos da Administração.</w:t>
      </w:r>
      <w:r>
        <w:rPr>
          <w:rFonts w:ascii="Times New Roman" w:hAnsi="Times New Roman" w:cs="Times New Roman"/>
          <w:sz w:val="22"/>
          <w:szCs w:val="22"/>
        </w:rPr>
        <w:t>”</w:t>
      </w:r>
      <w:r>
        <w:rPr>
          <w:rStyle w:val="Refdenotaderodap"/>
          <w:rFonts w:ascii="Times New Roman" w:hAnsi="Times New Roman" w:cs="Times New Roman"/>
          <w:sz w:val="22"/>
          <w:szCs w:val="22"/>
        </w:rPr>
        <w:footnoteReference w:id="9"/>
      </w:r>
      <w:r w:rsidRPr="00E4583F">
        <w:rPr>
          <w:rFonts w:ascii="Times New Roman" w:hAnsi="Times New Roman" w:cs="Times New Roman"/>
          <w:sz w:val="22"/>
          <w:szCs w:val="22"/>
        </w:rPr>
        <w:t xml:space="preserve"> </w:t>
      </w:r>
    </w:p>
    <w:p w14:paraId="1B3FADC3" w14:textId="77777777" w:rsid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117724DC" w14:textId="679A5908" w:rsidR="00E4583F" w:rsidRDefault="00E4583F" w:rsidP="00E4583F">
      <w:pPr>
        <w:spacing w:line="360" w:lineRule="auto"/>
        <w:ind w:firstLine="1134"/>
        <w:jc w:val="both"/>
        <w:rPr>
          <w:rFonts w:ascii="Times New Roman" w:hAnsi="Times New Roman" w:cs="Times New Roman"/>
        </w:rPr>
      </w:pPr>
      <w:r>
        <w:rPr>
          <w:rFonts w:ascii="Times New Roman" w:hAnsi="Times New Roman" w:cs="Times New Roman"/>
        </w:rPr>
        <w:t xml:space="preserve">Nessa senda, os documentos exigíveis por decorrência do poder de polícia administrativa são aqueles que se prestam a demonstrar que a licitante atende a condições impostas pela Administração, que o faz com o fito de </w:t>
      </w:r>
      <w:r w:rsidR="007125DD">
        <w:rPr>
          <w:rFonts w:ascii="Times New Roman" w:hAnsi="Times New Roman" w:cs="Times New Roman"/>
        </w:rPr>
        <w:t>proteger</w:t>
      </w:r>
      <w:r>
        <w:rPr>
          <w:rFonts w:ascii="Times New Roman" w:hAnsi="Times New Roman" w:cs="Times New Roman"/>
        </w:rPr>
        <w:t xml:space="preserve"> a coletividade. Estamos </w:t>
      </w:r>
      <w:r>
        <w:rPr>
          <w:rFonts w:ascii="Times New Roman" w:hAnsi="Times New Roman" w:cs="Times New Roman"/>
        </w:rPr>
        <w:lastRenderedPageBreak/>
        <w:t>nos referindo, por exemplo, a uma licença sanitária, ambiental, do Corpo de Bombeiros etc. Como apontado por Di Pietro, o poder de polícia administrativa geralmente é manifestado através da temática do órgão que o detém, podendo se referir a segurança, saúde, defesa civil, dentre outros.</w:t>
      </w:r>
    </w:p>
    <w:p w14:paraId="26F30BEC" w14:textId="6ADC386C" w:rsidR="00E4583F" w:rsidRDefault="00E4583F" w:rsidP="00E4583F">
      <w:pPr>
        <w:spacing w:line="360" w:lineRule="auto"/>
        <w:ind w:firstLine="1134"/>
        <w:jc w:val="both"/>
        <w:rPr>
          <w:rFonts w:ascii="Times New Roman" w:hAnsi="Times New Roman" w:cs="Times New Roman"/>
        </w:rPr>
      </w:pPr>
      <w:r>
        <w:rPr>
          <w:rFonts w:ascii="Times New Roman" w:hAnsi="Times New Roman" w:cs="Times New Roman"/>
        </w:rPr>
        <w:t>Necessário estabelecer importante diferenciação desses documentos com aqueles destinados ao “i</w:t>
      </w:r>
      <w:r w:rsidRPr="00E4583F">
        <w:rPr>
          <w:rFonts w:ascii="Times New Roman" w:hAnsi="Times New Roman" w:cs="Times New Roman"/>
        </w:rPr>
        <w:t>mplemento de política pública</w:t>
      </w:r>
      <w:r>
        <w:rPr>
          <w:rFonts w:ascii="Times New Roman" w:hAnsi="Times New Roman" w:cs="Times New Roman"/>
        </w:rPr>
        <w:t>”</w:t>
      </w:r>
      <w:r w:rsidR="00DD3539">
        <w:rPr>
          <w:rFonts w:ascii="Times New Roman" w:hAnsi="Times New Roman" w:cs="Times New Roman"/>
        </w:rPr>
        <w:t xml:space="preserve">. É óbvio que os documentos exigidos a título de poder de polícia administrativa também têm o condão de implementar políticas públicas, mas o que os diferencia dos primeiros é justamente o fato de que o poder de polícia administrativa é exercido sobre todas as pessoas, ainda que </w:t>
      </w:r>
      <w:r w:rsidR="007125DD">
        <w:rPr>
          <w:rFonts w:ascii="Times New Roman" w:hAnsi="Times New Roman" w:cs="Times New Roman"/>
        </w:rPr>
        <w:t>atuem</w:t>
      </w:r>
      <w:r w:rsidR="00DD3539">
        <w:rPr>
          <w:rFonts w:ascii="Times New Roman" w:hAnsi="Times New Roman" w:cs="Times New Roman"/>
        </w:rPr>
        <w:t xml:space="preserve"> em uma avença privada. É uma exigência geral, e não apenas para aqueles que </w:t>
      </w:r>
      <w:r w:rsidR="007125DD">
        <w:rPr>
          <w:rFonts w:ascii="Times New Roman" w:hAnsi="Times New Roman" w:cs="Times New Roman"/>
        </w:rPr>
        <w:t>aceitaram</w:t>
      </w:r>
      <w:r w:rsidR="00DD3539">
        <w:rPr>
          <w:rFonts w:ascii="Times New Roman" w:hAnsi="Times New Roman" w:cs="Times New Roman"/>
        </w:rPr>
        <w:t xml:space="preserve"> contratar com a Administração Pública.</w:t>
      </w:r>
    </w:p>
    <w:p w14:paraId="551E7E83" w14:textId="3D5A0993" w:rsidR="00DD3539" w:rsidRDefault="00DD3539" w:rsidP="00E4583F">
      <w:pPr>
        <w:spacing w:line="360" w:lineRule="auto"/>
        <w:ind w:firstLine="1134"/>
        <w:jc w:val="both"/>
        <w:rPr>
          <w:rFonts w:ascii="Times New Roman" w:hAnsi="Times New Roman" w:cs="Times New Roman"/>
        </w:rPr>
      </w:pPr>
      <w:r>
        <w:rPr>
          <w:rFonts w:ascii="Times New Roman" w:hAnsi="Times New Roman" w:cs="Times New Roman"/>
        </w:rPr>
        <w:t>Nesse sentido, é relevante colher mais uma lição de Bandeira de Mello, acerca do caráter geral do poder de polícia administrativa:</w:t>
      </w:r>
    </w:p>
    <w:p w14:paraId="68F141EA" w14:textId="2516D3ED" w:rsidR="00E4583F" w:rsidRP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E4583F">
        <w:rPr>
          <w:rFonts w:ascii="Times New Roman" w:hAnsi="Times New Roman" w:cs="Times New Roman"/>
          <w:sz w:val="22"/>
          <w:szCs w:val="22"/>
        </w:rPr>
        <w:t>Os doutrinadores italianos distinguem - com proveitosos resultados - esta "supremacia geral" da "supremacia especial", que só estará em causa quando existam vínculos específicos travados entre o Poder Público e determinados sujeitos.</w:t>
      </w:r>
    </w:p>
    <w:p w14:paraId="0A7AA094" w14:textId="77777777" w:rsidR="00E4583F" w:rsidRP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E4583F">
        <w:rPr>
          <w:rFonts w:ascii="Times New Roman" w:hAnsi="Times New Roman" w:cs="Times New Roman"/>
          <w:sz w:val="22"/>
          <w:szCs w:val="22"/>
        </w:rPr>
        <w:t xml:space="preserve">Bem por isso, não se confundem com a polícia administrativa as manifestações impositivas da Administração que, embora limitadoras da liberdade, promanam de vínculos ou relações específicas firmadas entre o Poder Público e o destinatário de sua ação. Desta última espécie são as limitações que se originam em um título jurídico especial, </w:t>
      </w:r>
      <w:proofErr w:type="spellStart"/>
      <w:r w:rsidRPr="00E4583F">
        <w:rPr>
          <w:rFonts w:ascii="Times New Roman" w:hAnsi="Times New Roman" w:cs="Times New Roman"/>
          <w:sz w:val="22"/>
          <w:szCs w:val="22"/>
        </w:rPr>
        <w:t>relacionador</w:t>
      </w:r>
      <w:proofErr w:type="spellEnd"/>
      <w:r w:rsidRPr="00E4583F">
        <w:rPr>
          <w:rFonts w:ascii="Times New Roman" w:hAnsi="Times New Roman" w:cs="Times New Roman"/>
          <w:sz w:val="22"/>
          <w:szCs w:val="22"/>
        </w:rPr>
        <w:t xml:space="preserve"> da Administração com terceiro.</w:t>
      </w:r>
    </w:p>
    <w:p w14:paraId="2765CBA2" w14:textId="1F1AAB66" w:rsidR="00E4583F" w:rsidRPr="00E4583F" w:rsidRDefault="00E4583F" w:rsidP="00E4583F">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E4583F">
        <w:rPr>
          <w:rFonts w:ascii="Times New Roman" w:hAnsi="Times New Roman" w:cs="Times New Roman"/>
          <w:sz w:val="22"/>
          <w:szCs w:val="22"/>
        </w:rPr>
        <w:t>Assim, estão fora do campo da polícia administrativa os atos que atingem os usuários de um serviço público, a ele admitidos, quando concernentes aquele especial relacionamento.</w:t>
      </w:r>
      <w:r w:rsidR="00DD3539">
        <w:rPr>
          <w:rStyle w:val="Refdenotaderodap"/>
          <w:rFonts w:ascii="Times New Roman" w:hAnsi="Times New Roman" w:cs="Times New Roman"/>
          <w:sz w:val="22"/>
          <w:szCs w:val="22"/>
        </w:rPr>
        <w:footnoteReference w:id="10"/>
      </w:r>
    </w:p>
    <w:p w14:paraId="0C89069B" w14:textId="77777777" w:rsidR="00E4583F" w:rsidRDefault="00E4583F" w:rsidP="001F6214">
      <w:pPr>
        <w:ind w:firstLine="1134"/>
        <w:rPr>
          <w:rFonts w:ascii="Times New Roman" w:hAnsi="Times New Roman" w:cs="Times New Roman"/>
        </w:rPr>
      </w:pPr>
    </w:p>
    <w:p w14:paraId="1B893876" w14:textId="433EC17E" w:rsidR="00E4583F" w:rsidRDefault="007125DD" w:rsidP="00E4583F">
      <w:pPr>
        <w:spacing w:line="360" w:lineRule="auto"/>
        <w:ind w:firstLine="1134"/>
        <w:jc w:val="both"/>
        <w:rPr>
          <w:rFonts w:ascii="Times New Roman" w:hAnsi="Times New Roman" w:cs="Times New Roman"/>
        </w:rPr>
      </w:pPr>
      <w:r>
        <w:rPr>
          <w:rFonts w:ascii="Times New Roman" w:hAnsi="Times New Roman" w:cs="Times New Roman"/>
        </w:rPr>
        <w:t>N</w:t>
      </w:r>
      <w:r w:rsidR="00DD3539">
        <w:rPr>
          <w:rFonts w:ascii="Times New Roman" w:hAnsi="Times New Roman" w:cs="Times New Roman"/>
        </w:rPr>
        <w:t>esses casos, a Administração Pública age com a sua face de protetora da coletividade</w:t>
      </w:r>
      <w:r>
        <w:rPr>
          <w:rFonts w:ascii="Times New Roman" w:hAnsi="Times New Roman" w:cs="Times New Roman"/>
        </w:rPr>
        <w:t xml:space="preserve">. Considere a situação em que são exigidos a todos que estiverem naquela situação </w:t>
      </w:r>
      <w:r w:rsidR="00DD3539">
        <w:rPr>
          <w:rFonts w:ascii="Times New Roman" w:hAnsi="Times New Roman" w:cs="Times New Roman"/>
        </w:rPr>
        <w:t>documentos que comprovem, por exemplo, a segurança, adequação sanitária ou de defesa civil</w:t>
      </w:r>
      <w:r>
        <w:rPr>
          <w:rFonts w:ascii="Times New Roman" w:hAnsi="Times New Roman" w:cs="Times New Roman"/>
        </w:rPr>
        <w:t>. N</w:t>
      </w:r>
      <w:r w:rsidR="00DD3539">
        <w:rPr>
          <w:rFonts w:ascii="Times New Roman" w:hAnsi="Times New Roman" w:cs="Times New Roman"/>
        </w:rPr>
        <w:t xml:space="preserve">ão faria sentido </w:t>
      </w:r>
      <w:r w:rsidR="002A1624">
        <w:rPr>
          <w:rFonts w:ascii="Times New Roman" w:hAnsi="Times New Roman" w:cs="Times New Roman"/>
        </w:rPr>
        <w:t>a Administração exigi-los nas avenças entre particulares</w:t>
      </w:r>
      <w:r w:rsidR="00DD3539">
        <w:rPr>
          <w:rFonts w:ascii="Times New Roman" w:hAnsi="Times New Roman" w:cs="Times New Roman"/>
        </w:rPr>
        <w:t xml:space="preserve"> </w:t>
      </w:r>
      <w:r w:rsidR="002A1624">
        <w:rPr>
          <w:rFonts w:ascii="Times New Roman" w:hAnsi="Times New Roman" w:cs="Times New Roman"/>
        </w:rPr>
        <w:t xml:space="preserve">e </w:t>
      </w:r>
      <w:r w:rsidR="00DD3539">
        <w:rPr>
          <w:rFonts w:ascii="Times New Roman" w:hAnsi="Times New Roman" w:cs="Times New Roman"/>
        </w:rPr>
        <w:t xml:space="preserve">deixar de exigi-los justamente quando </w:t>
      </w:r>
      <w:r w:rsidR="002A1624">
        <w:rPr>
          <w:rFonts w:ascii="Times New Roman" w:hAnsi="Times New Roman" w:cs="Times New Roman"/>
        </w:rPr>
        <w:t>o negócio</w:t>
      </w:r>
      <w:r w:rsidR="00DD3539">
        <w:rPr>
          <w:rFonts w:ascii="Times New Roman" w:hAnsi="Times New Roman" w:cs="Times New Roman"/>
        </w:rPr>
        <w:t xml:space="preserve"> se dá com </w:t>
      </w:r>
      <w:r w:rsidR="002A1624">
        <w:rPr>
          <w:rFonts w:ascii="Times New Roman" w:hAnsi="Times New Roman" w:cs="Times New Roman"/>
        </w:rPr>
        <w:t>ela própria</w:t>
      </w:r>
      <w:r w:rsidR="00DD3539">
        <w:rPr>
          <w:rFonts w:ascii="Times New Roman" w:hAnsi="Times New Roman" w:cs="Times New Roman"/>
        </w:rPr>
        <w:t>.</w:t>
      </w:r>
    </w:p>
    <w:p w14:paraId="2153B871" w14:textId="78BAC7A4" w:rsidR="00693C9A" w:rsidRDefault="00DD3539" w:rsidP="00E4583F">
      <w:pPr>
        <w:spacing w:line="360" w:lineRule="auto"/>
        <w:ind w:firstLine="1134"/>
        <w:jc w:val="both"/>
        <w:rPr>
          <w:rFonts w:ascii="Times New Roman" w:hAnsi="Times New Roman" w:cs="Times New Roman"/>
        </w:rPr>
      </w:pPr>
      <w:r>
        <w:rPr>
          <w:rFonts w:ascii="Times New Roman" w:hAnsi="Times New Roman" w:cs="Times New Roman"/>
        </w:rPr>
        <w:t>É por isso que a dispensa de documentos de habilitação realizada pelo art. 70, inciso III, nas hipóteses ali enumeradas, não pode abranger os documentos decorrentes do poder de polícia administrativa. É um consectário lógico.</w:t>
      </w:r>
      <w:r w:rsidR="00693C9A">
        <w:rPr>
          <w:rFonts w:ascii="Times New Roman" w:hAnsi="Times New Roman" w:cs="Times New Roman"/>
        </w:rPr>
        <w:t xml:space="preserve"> De igual modo, não há, nesses casos, análise de conveniência e oportunidade a ser realizada pela Administração </w:t>
      </w:r>
      <w:r w:rsidR="00693C9A">
        <w:rPr>
          <w:rFonts w:ascii="Times New Roman" w:hAnsi="Times New Roman" w:cs="Times New Roman"/>
        </w:rPr>
        <w:lastRenderedPageBreak/>
        <w:t xml:space="preserve">Pública na sua nuance contratante, </w:t>
      </w:r>
      <w:r w:rsidR="002A1624">
        <w:rPr>
          <w:rFonts w:ascii="Times New Roman" w:hAnsi="Times New Roman" w:cs="Times New Roman"/>
        </w:rPr>
        <w:t xml:space="preserve">pois </w:t>
      </w:r>
      <w:r w:rsidR="00693C9A">
        <w:rPr>
          <w:rFonts w:ascii="Times New Roman" w:hAnsi="Times New Roman" w:cs="Times New Roman"/>
        </w:rPr>
        <w:t xml:space="preserve">ela própria deve se submeter às normas a todos </w:t>
      </w:r>
      <w:r w:rsidR="002A1624">
        <w:rPr>
          <w:rFonts w:ascii="Times New Roman" w:hAnsi="Times New Roman" w:cs="Times New Roman"/>
        </w:rPr>
        <w:t xml:space="preserve">por ela </w:t>
      </w:r>
      <w:r w:rsidR="00693C9A">
        <w:rPr>
          <w:rFonts w:ascii="Times New Roman" w:hAnsi="Times New Roman" w:cs="Times New Roman"/>
        </w:rPr>
        <w:t>impostas.</w:t>
      </w:r>
    </w:p>
    <w:p w14:paraId="0EB9EC59" w14:textId="5A2F246C" w:rsidR="00DD3539" w:rsidRDefault="00693C9A" w:rsidP="00E4583F">
      <w:pPr>
        <w:spacing w:line="360" w:lineRule="auto"/>
        <w:ind w:firstLine="1134"/>
        <w:jc w:val="both"/>
        <w:rPr>
          <w:rFonts w:ascii="Times New Roman" w:hAnsi="Times New Roman" w:cs="Times New Roman"/>
        </w:rPr>
      </w:pPr>
      <w:r>
        <w:rPr>
          <w:rFonts w:ascii="Times New Roman" w:hAnsi="Times New Roman" w:cs="Times New Roman"/>
        </w:rPr>
        <w:t xml:space="preserve">Aos servidores que laboram na fase de planejamento da contratação cabe verificar se, naquela situação, é realmente exigível este ou aquele documento, para não “inventar” a necessidade de documentos indevidos, como, por exemplo, exigir um alvará do Corpo de Bombeiros que não se aplica àquela situação. É possível, ainda, que a Administração contratante </w:t>
      </w:r>
      <w:r w:rsidR="002A1624">
        <w:rPr>
          <w:rFonts w:ascii="Times New Roman" w:hAnsi="Times New Roman" w:cs="Times New Roman"/>
        </w:rPr>
        <w:t>requeira</w:t>
      </w:r>
      <w:r>
        <w:rPr>
          <w:rFonts w:ascii="Times New Roman" w:hAnsi="Times New Roman" w:cs="Times New Roman"/>
        </w:rPr>
        <w:t>, por exemplo, critérios de segurança adicionais, como uma certificação específica ou um padrão de desempenho</w:t>
      </w:r>
      <w:r w:rsidR="004A74BA">
        <w:rPr>
          <w:rFonts w:ascii="Times New Roman" w:hAnsi="Times New Roman" w:cs="Times New Roman"/>
        </w:rPr>
        <w:t>, mas nesses casos não estaremos diante de documentos exigidos pelo poder de polícia administrativa, mas sim da categoria “por razoável impacto teórico sobre a execução do objeto”, a qual veremos a seguir.</w:t>
      </w:r>
    </w:p>
    <w:p w14:paraId="5EE51CDE" w14:textId="77777777" w:rsidR="00A64F36" w:rsidRDefault="00A64F36" w:rsidP="00E4583F">
      <w:pPr>
        <w:spacing w:line="360" w:lineRule="auto"/>
        <w:ind w:firstLine="1134"/>
        <w:jc w:val="both"/>
        <w:rPr>
          <w:rFonts w:ascii="Times New Roman" w:hAnsi="Times New Roman" w:cs="Times New Roman"/>
        </w:rPr>
      </w:pPr>
    </w:p>
    <w:p w14:paraId="0D000326" w14:textId="60985B6C" w:rsidR="00693C9A" w:rsidRPr="00A64F36" w:rsidRDefault="00A64F36" w:rsidP="00E4583F">
      <w:pPr>
        <w:spacing w:line="360" w:lineRule="auto"/>
        <w:ind w:firstLine="1134"/>
        <w:jc w:val="both"/>
        <w:rPr>
          <w:rFonts w:ascii="Times New Roman" w:hAnsi="Times New Roman" w:cs="Times New Roman"/>
          <w:b/>
          <w:bCs/>
        </w:rPr>
      </w:pPr>
      <w:r w:rsidRPr="00A64F36">
        <w:rPr>
          <w:rFonts w:ascii="Times New Roman" w:hAnsi="Times New Roman" w:cs="Times New Roman"/>
          <w:b/>
          <w:bCs/>
        </w:rPr>
        <w:t>Por razoável impacto teórico sobre a execução do objeto</w:t>
      </w:r>
    </w:p>
    <w:p w14:paraId="6545F261" w14:textId="1DC15685" w:rsidR="00C91FAC" w:rsidRDefault="00C91FAC" w:rsidP="00C91FAC">
      <w:pPr>
        <w:spacing w:line="360" w:lineRule="auto"/>
        <w:ind w:firstLine="1134"/>
        <w:jc w:val="both"/>
        <w:rPr>
          <w:rFonts w:ascii="Times New Roman" w:hAnsi="Times New Roman" w:cs="Times New Roman"/>
        </w:rPr>
      </w:pPr>
      <w:r w:rsidRPr="00C91FAC">
        <w:rPr>
          <w:rFonts w:ascii="Times New Roman" w:hAnsi="Times New Roman" w:cs="Times New Roman"/>
        </w:rPr>
        <w:t xml:space="preserve">Existem hipóteses em que a documentação exigida para habilitação não decorre diretamente de uma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sidRPr="00C91FAC">
        <w:rPr>
          <w:rFonts w:ascii="Times New Roman" w:hAnsi="Times New Roman" w:cs="Times New Roman"/>
        </w:rPr>
        <w:t xml:space="preserve">, da implementação de políticas públicas ou mesmo do poder de polícia administrativa. Trata-se daquelas situações nas quais se </w:t>
      </w:r>
      <w:r w:rsidR="002A1624">
        <w:rPr>
          <w:rFonts w:ascii="Times New Roman" w:hAnsi="Times New Roman" w:cs="Times New Roman"/>
        </w:rPr>
        <w:t>requer</w:t>
      </w:r>
      <w:r w:rsidRPr="00C91FAC">
        <w:rPr>
          <w:rFonts w:ascii="Times New Roman" w:hAnsi="Times New Roman" w:cs="Times New Roman"/>
        </w:rPr>
        <w:t xml:space="preserve"> determinado documento porque, teoricamente, a sua ausência pode impactar a execução satisfatória do objeto licitado. Nesses casos, a exigência é feita em virtude de uma análise preditiva, fundamentada em estudo técnico preliminar ou termo de referência, que demonstre que determinado requisito documental assegura ou aumenta significativamente a probabilidade de execução adequada do objeto.</w:t>
      </w:r>
    </w:p>
    <w:p w14:paraId="7CD7FB27" w14:textId="51452697" w:rsidR="00261706" w:rsidRDefault="002A1624" w:rsidP="00C91FAC">
      <w:pPr>
        <w:spacing w:line="360" w:lineRule="auto"/>
        <w:ind w:firstLine="1134"/>
        <w:jc w:val="both"/>
        <w:rPr>
          <w:rFonts w:ascii="Times New Roman" w:hAnsi="Times New Roman" w:cs="Times New Roman"/>
        </w:rPr>
      </w:pPr>
      <w:r>
        <w:rPr>
          <w:rFonts w:ascii="Times New Roman" w:hAnsi="Times New Roman" w:cs="Times New Roman"/>
        </w:rPr>
        <w:t xml:space="preserve">Observemos o seguinte </w:t>
      </w:r>
      <w:r w:rsidR="00261706">
        <w:rPr>
          <w:rFonts w:ascii="Times New Roman" w:hAnsi="Times New Roman" w:cs="Times New Roman"/>
        </w:rPr>
        <w:t xml:space="preserve">trecho </w:t>
      </w:r>
      <w:r>
        <w:rPr>
          <w:rFonts w:ascii="Times New Roman" w:hAnsi="Times New Roman" w:cs="Times New Roman"/>
        </w:rPr>
        <w:t>de obra de</w:t>
      </w:r>
      <w:r w:rsidR="00261706">
        <w:rPr>
          <w:rFonts w:ascii="Times New Roman" w:hAnsi="Times New Roman" w:cs="Times New Roman"/>
        </w:rPr>
        <w:t xml:space="preserve"> Joel Menezes </w:t>
      </w:r>
      <w:proofErr w:type="spellStart"/>
      <w:r w:rsidR="00261706">
        <w:rPr>
          <w:rFonts w:ascii="Times New Roman" w:hAnsi="Times New Roman" w:cs="Times New Roman"/>
        </w:rPr>
        <w:t>Niebuhr</w:t>
      </w:r>
      <w:proofErr w:type="spellEnd"/>
      <w:r>
        <w:rPr>
          <w:rFonts w:ascii="Times New Roman" w:hAnsi="Times New Roman" w:cs="Times New Roman"/>
        </w:rPr>
        <w:t>, em que o autor</w:t>
      </w:r>
      <w:r w:rsidR="00261706">
        <w:rPr>
          <w:rFonts w:ascii="Times New Roman" w:hAnsi="Times New Roman" w:cs="Times New Roman"/>
        </w:rPr>
        <w:t xml:space="preserve"> discorre acerca da fase da habilitação:</w:t>
      </w:r>
    </w:p>
    <w:p w14:paraId="3A580F5B" w14:textId="0365247E" w:rsidR="00261706" w:rsidRDefault="00954D92" w:rsidP="00261706">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Pr>
          <w:rFonts w:ascii="Times New Roman" w:hAnsi="Times New Roman" w:cs="Times New Roman"/>
          <w:sz w:val="22"/>
          <w:szCs w:val="22"/>
        </w:rPr>
        <w:t>“</w:t>
      </w:r>
      <w:r w:rsidR="00261706" w:rsidRPr="0076092F">
        <w:rPr>
          <w:rFonts w:ascii="Times New Roman" w:hAnsi="Times New Roman" w:cs="Times New Roman"/>
          <w:sz w:val="22"/>
          <w:szCs w:val="22"/>
        </w:rPr>
        <w:t>A análise da utilidade, necessidade, relevância e pertinência das exigências realizadas em habilitação deve partir do objeto licitado e das suas especificidades. O objeto da licitação é o fator determinante e último para que se possa apontar quais as exigências que se harmonizam ou não ao princípio da competitividade.</w:t>
      </w:r>
      <w:r>
        <w:rPr>
          <w:rFonts w:ascii="Times New Roman" w:hAnsi="Times New Roman" w:cs="Times New Roman"/>
          <w:sz w:val="22"/>
          <w:szCs w:val="22"/>
        </w:rPr>
        <w:t>”</w:t>
      </w:r>
      <w:r>
        <w:rPr>
          <w:rStyle w:val="Refdenotaderodap"/>
          <w:rFonts w:ascii="Times New Roman" w:hAnsi="Times New Roman" w:cs="Times New Roman"/>
          <w:sz w:val="22"/>
          <w:szCs w:val="22"/>
        </w:rPr>
        <w:footnoteReference w:id="11"/>
      </w:r>
    </w:p>
    <w:p w14:paraId="68FE6293" w14:textId="77777777" w:rsidR="00261706" w:rsidRPr="00261706" w:rsidRDefault="00261706" w:rsidP="00261706">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019834CE" w14:textId="6706BADE" w:rsidR="00261706" w:rsidRDefault="00261706" w:rsidP="00C91FAC">
      <w:pPr>
        <w:spacing w:line="360" w:lineRule="auto"/>
        <w:ind w:firstLine="1134"/>
        <w:jc w:val="both"/>
        <w:rPr>
          <w:rFonts w:ascii="Times New Roman" w:hAnsi="Times New Roman" w:cs="Times New Roman"/>
        </w:rPr>
      </w:pPr>
      <w:r>
        <w:rPr>
          <w:rFonts w:ascii="Times New Roman" w:hAnsi="Times New Roman" w:cs="Times New Roman"/>
        </w:rPr>
        <w:t xml:space="preserve">Concordamos com </w:t>
      </w:r>
      <w:r w:rsidR="002A1624">
        <w:rPr>
          <w:rFonts w:ascii="Times New Roman" w:hAnsi="Times New Roman" w:cs="Times New Roman"/>
        </w:rPr>
        <w:t>raciocínio d</w:t>
      </w:r>
      <w:r>
        <w:rPr>
          <w:rFonts w:ascii="Times New Roman" w:hAnsi="Times New Roman" w:cs="Times New Roman"/>
        </w:rPr>
        <w:t xml:space="preserve">o </w:t>
      </w:r>
      <w:r w:rsidR="00D92632">
        <w:rPr>
          <w:rFonts w:ascii="Times New Roman" w:hAnsi="Times New Roman" w:cs="Times New Roman"/>
        </w:rPr>
        <w:t>prestigiado</w:t>
      </w:r>
      <w:r>
        <w:rPr>
          <w:rFonts w:ascii="Times New Roman" w:hAnsi="Times New Roman" w:cs="Times New Roman"/>
        </w:rPr>
        <w:t xml:space="preserve"> autor, ressalvando apenas que esse entendimento deve ser restrito ao que chamamos de documentos exigidos “p</w:t>
      </w:r>
      <w:r w:rsidRPr="00261706">
        <w:rPr>
          <w:rFonts w:ascii="Times New Roman" w:hAnsi="Times New Roman" w:cs="Times New Roman"/>
        </w:rPr>
        <w:t>or razoável impacto teórico sobre a execução do objeto</w:t>
      </w:r>
      <w:r>
        <w:rPr>
          <w:rFonts w:ascii="Times New Roman" w:hAnsi="Times New Roman" w:cs="Times New Roman"/>
        </w:rPr>
        <w:t>”</w:t>
      </w:r>
      <w:r w:rsidR="002A1624">
        <w:rPr>
          <w:rFonts w:ascii="Times New Roman" w:hAnsi="Times New Roman" w:cs="Times New Roman"/>
        </w:rPr>
        <w:t>. Entendemos que</w:t>
      </w:r>
      <w:r>
        <w:rPr>
          <w:rFonts w:ascii="Times New Roman" w:hAnsi="Times New Roman" w:cs="Times New Roman"/>
        </w:rPr>
        <w:t xml:space="preserve"> não </w:t>
      </w:r>
      <w:r w:rsidR="002A1624">
        <w:rPr>
          <w:rFonts w:ascii="Times New Roman" w:hAnsi="Times New Roman" w:cs="Times New Roman"/>
        </w:rPr>
        <w:t>há</w:t>
      </w:r>
      <w:r>
        <w:rPr>
          <w:rFonts w:ascii="Times New Roman" w:hAnsi="Times New Roman" w:cs="Times New Roman"/>
        </w:rPr>
        <w:t xml:space="preserve"> a </w:t>
      </w:r>
      <w:r>
        <w:rPr>
          <w:rFonts w:ascii="Times New Roman" w:hAnsi="Times New Roman" w:cs="Times New Roman"/>
        </w:rPr>
        <w:lastRenderedPageBreak/>
        <w:t>possibilidade da aferição de “</w:t>
      </w:r>
      <w:r w:rsidRPr="00261706">
        <w:rPr>
          <w:rFonts w:ascii="Times New Roman" w:hAnsi="Times New Roman" w:cs="Times New Roman"/>
        </w:rPr>
        <w:t>utilidade, necessidade, relevância e pertinência</w:t>
      </w:r>
      <w:r>
        <w:rPr>
          <w:rFonts w:ascii="Times New Roman" w:hAnsi="Times New Roman" w:cs="Times New Roman"/>
        </w:rPr>
        <w:t xml:space="preserve">” (que nada mais é do que o conhecido juízo de conveniência e oportunidade), em regra, nos documentos exigidos em decorrência de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Pr>
          <w:rFonts w:ascii="Times New Roman" w:hAnsi="Times New Roman" w:cs="Times New Roman"/>
        </w:rPr>
        <w:t>, de implemento de política pública ou de exigência do poder de polícia estatal</w:t>
      </w:r>
      <w:r w:rsidR="002A1624">
        <w:rPr>
          <w:rFonts w:ascii="Times New Roman" w:hAnsi="Times New Roman" w:cs="Times New Roman"/>
        </w:rPr>
        <w:t xml:space="preserve"> sem norma que assim autorize, pelos motivos já enumerados neste ensaio</w:t>
      </w:r>
      <w:r>
        <w:rPr>
          <w:rFonts w:ascii="Times New Roman" w:hAnsi="Times New Roman" w:cs="Times New Roman"/>
        </w:rPr>
        <w:t>.</w:t>
      </w:r>
    </w:p>
    <w:p w14:paraId="40818989" w14:textId="738CC131" w:rsidR="002A1624" w:rsidRDefault="00C91FAC" w:rsidP="00C91FAC">
      <w:pPr>
        <w:spacing w:line="360" w:lineRule="auto"/>
        <w:ind w:firstLine="1134"/>
        <w:jc w:val="both"/>
        <w:rPr>
          <w:rFonts w:ascii="Times New Roman" w:hAnsi="Times New Roman" w:cs="Times New Roman"/>
        </w:rPr>
      </w:pPr>
      <w:r w:rsidRPr="00C91FAC">
        <w:rPr>
          <w:rFonts w:ascii="Times New Roman" w:hAnsi="Times New Roman" w:cs="Times New Roman"/>
        </w:rPr>
        <w:t>Diferentemente das exigências vinculadas diretamente à</w:t>
      </w:r>
      <w:r w:rsidR="002A1624">
        <w:rPr>
          <w:rFonts w:ascii="Times New Roman" w:hAnsi="Times New Roman" w:cs="Times New Roman"/>
        </w:rPr>
        <w:t xml:space="preserve">s </w:t>
      </w:r>
      <w:proofErr w:type="gramStart"/>
      <w:r w:rsidR="002A1624">
        <w:rPr>
          <w:rFonts w:ascii="Times New Roman" w:hAnsi="Times New Roman" w:cs="Times New Roman"/>
        </w:rPr>
        <w:t>citadas</w:t>
      </w:r>
      <w:r w:rsidRPr="00C91FAC">
        <w:rPr>
          <w:rFonts w:ascii="Times New Roman" w:hAnsi="Times New Roman" w:cs="Times New Roman"/>
        </w:rPr>
        <w:t xml:space="preserve"> </w:t>
      </w:r>
      <w:r w:rsidR="00D74FFE" w:rsidRPr="00D74FFE">
        <w:rPr>
          <w:rFonts w:ascii="Times New Roman" w:hAnsi="Times New Roman" w:cs="Times New Roman"/>
          <w:i/>
          <w:iCs/>
        </w:rPr>
        <w:t>necessidade</w:t>
      </w:r>
      <w:proofErr w:type="gramEnd"/>
      <w:r w:rsidR="00D74FFE" w:rsidRPr="00D74FFE">
        <w:rPr>
          <w:rFonts w:ascii="Times New Roman" w:hAnsi="Times New Roman" w:cs="Times New Roman"/>
          <w:i/>
          <w:iCs/>
        </w:rPr>
        <w:t xml:space="preserve"> de comprovação de capacidade e legitimidade civil</w:t>
      </w:r>
      <w:r w:rsidR="00D74FFE" w:rsidRPr="00D74FFE">
        <w:rPr>
          <w:rFonts w:ascii="Times New Roman" w:hAnsi="Times New Roman" w:cs="Times New Roman"/>
          <w:i/>
          <w:iCs/>
        </w:rPr>
        <w:t xml:space="preserve"> </w:t>
      </w:r>
      <w:r w:rsidR="002A1624">
        <w:rPr>
          <w:rFonts w:ascii="Times New Roman" w:hAnsi="Times New Roman" w:cs="Times New Roman"/>
        </w:rPr>
        <w:t>e</w:t>
      </w:r>
      <w:r w:rsidRPr="00C91FAC">
        <w:rPr>
          <w:rFonts w:ascii="Times New Roman" w:hAnsi="Times New Roman" w:cs="Times New Roman"/>
        </w:rPr>
        <w:t xml:space="preserve"> </w:t>
      </w:r>
      <w:r w:rsidRPr="002A1624">
        <w:rPr>
          <w:rFonts w:ascii="Times New Roman" w:hAnsi="Times New Roman" w:cs="Times New Roman"/>
          <w:i/>
          <w:iCs/>
        </w:rPr>
        <w:t>poder de polícia administrativa</w:t>
      </w:r>
      <w:r w:rsidRPr="00C91FAC">
        <w:rPr>
          <w:rFonts w:ascii="Times New Roman" w:hAnsi="Times New Roman" w:cs="Times New Roman"/>
        </w:rPr>
        <w:t xml:space="preserve">, </w:t>
      </w:r>
      <w:r w:rsidR="002A1624">
        <w:rPr>
          <w:rFonts w:ascii="Times New Roman" w:hAnsi="Times New Roman" w:cs="Times New Roman"/>
        </w:rPr>
        <w:t xml:space="preserve">as exigências </w:t>
      </w:r>
      <w:r w:rsidR="002A1624" w:rsidRPr="002A1624">
        <w:rPr>
          <w:rFonts w:ascii="Times New Roman" w:hAnsi="Times New Roman" w:cs="Times New Roman"/>
          <w:i/>
          <w:iCs/>
        </w:rPr>
        <w:t>por razoável impacto teórico sobre a execução do objeto</w:t>
      </w:r>
      <w:r w:rsidR="002A1624" w:rsidRPr="00C91FAC">
        <w:rPr>
          <w:rFonts w:ascii="Times New Roman" w:hAnsi="Times New Roman" w:cs="Times New Roman"/>
        </w:rPr>
        <w:t xml:space="preserve"> </w:t>
      </w:r>
      <w:r w:rsidRPr="00C91FAC">
        <w:rPr>
          <w:rFonts w:ascii="Times New Roman" w:hAnsi="Times New Roman" w:cs="Times New Roman"/>
        </w:rPr>
        <w:t>não possuem aplicação universal, mas são estabelecidas</w:t>
      </w:r>
      <w:r w:rsidR="002A1624">
        <w:rPr>
          <w:rFonts w:ascii="Times New Roman" w:hAnsi="Times New Roman" w:cs="Times New Roman"/>
        </w:rPr>
        <w:t xml:space="preserve"> pela Administração-contratante</w:t>
      </w:r>
      <w:r w:rsidRPr="00C91FAC">
        <w:rPr>
          <w:rFonts w:ascii="Times New Roman" w:hAnsi="Times New Roman" w:cs="Times New Roman"/>
        </w:rPr>
        <w:t xml:space="preserve"> considerando o caso concreto, sua complexidade e especificidades técnicas. </w:t>
      </w:r>
    </w:p>
    <w:p w14:paraId="47705937" w14:textId="2FDC9ECB" w:rsidR="00C91FAC" w:rsidRPr="00C91FAC" w:rsidRDefault="002A1624" w:rsidP="00C91FAC">
      <w:pPr>
        <w:spacing w:line="360" w:lineRule="auto"/>
        <w:ind w:firstLine="1134"/>
        <w:jc w:val="both"/>
        <w:rPr>
          <w:rFonts w:ascii="Times New Roman" w:hAnsi="Times New Roman" w:cs="Times New Roman"/>
        </w:rPr>
      </w:pPr>
      <w:r>
        <w:rPr>
          <w:rFonts w:ascii="Times New Roman" w:hAnsi="Times New Roman" w:cs="Times New Roman"/>
        </w:rPr>
        <w:t>É claro que n</w:t>
      </w:r>
      <w:r w:rsidR="00C91FAC" w:rsidRPr="00C91FAC">
        <w:rPr>
          <w:rFonts w:ascii="Times New Roman" w:hAnsi="Times New Roman" w:cs="Times New Roman"/>
        </w:rPr>
        <w:t xml:space="preserve">ão se trata de mera </w:t>
      </w:r>
      <w:r w:rsidR="00C91FAC">
        <w:rPr>
          <w:rFonts w:ascii="Times New Roman" w:hAnsi="Times New Roman" w:cs="Times New Roman"/>
        </w:rPr>
        <w:t>vontade potestativa do administrador público</w:t>
      </w:r>
      <w:r w:rsidR="00C91FAC" w:rsidRPr="00C91FAC">
        <w:rPr>
          <w:rFonts w:ascii="Times New Roman" w:hAnsi="Times New Roman" w:cs="Times New Roman"/>
        </w:rPr>
        <w:t xml:space="preserve">, mas sim </w:t>
      </w:r>
      <w:r w:rsidR="00C91FAC">
        <w:rPr>
          <w:rFonts w:ascii="Times New Roman" w:hAnsi="Times New Roman" w:cs="Times New Roman"/>
        </w:rPr>
        <w:t xml:space="preserve">da sua análise de conveniência e oportunidade a partir </w:t>
      </w:r>
      <w:r w:rsidR="00C91FAC" w:rsidRPr="00C91FAC">
        <w:rPr>
          <w:rFonts w:ascii="Times New Roman" w:hAnsi="Times New Roman" w:cs="Times New Roman"/>
        </w:rPr>
        <w:t>da aplicação de critérios técnicos objetivos que indicam, com razoável segurança, que a ausência daquele documento poderá comprometer, em algum grau, a qualidade, o prazo ou a eficiência da execução do objeto contratado.</w:t>
      </w:r>
    </w:p>
    <w:p w14:paraId="3C1B74FD" w14:textId="77777777" w:rsidR="00C91FAC" w:rsidRPr="00C91FAC" w:rsidRDefault="00C91FAC" w:rsidP="00C91FAC">
      <w:pPr>
        <w:spacing w:line="360" w:lineRule="auto"/>
        <w:ind w:firstLine="1134"/>
        <w:jc w:val="both"/>
        <w:rPr>
          <w:rFonts w:ascii="Times New Roman" w:hAnsi="Times New Roman" w:cs="Times New Roman"/>
        </w:rPr>
      </w:pPr>
      <w:r w:rsidRPr="00C91FAC">
        <w:rPr>
          <w:rFonts w:ascii="Times New Roman" w:hAnsi="Times New Roman" w:cs="Times New Roman"/>
        </w:rPr>
        <w:t>Nesse cenário, são comuns exigências relacionadas a certificados de qualidade, demonstrações de experiência anterior em objetos similares ou equivalentes, qualificação específica de pessoal técnico, dentre outros. O propósito é assegurar, com razoável segurança, que a empresa habilitada possui capacidade técnica real e mensurável para cumprir as obrigações contratuais com a Administração Pública.</w:t>
      </w:r>
    </w:p>
    <w:p w14:paraId="7C2997A0" w14:textId="77777777" w:rsidR="002A1624" w:rsidRDefault="00C91FAC" w:rsidP="00147649">
      <w:pPr>
        <w:spacing w:line="360" w:lineRule="auto"/>
        <w:ind w:firstLine="1134"/>
        <w:rPr>
          <w:rFonts w:ascii="Times New Roman" w:hAnsi="Times New Roman" w:cs="Times New Roman"/>
        </w:rPr>
      </w:pPr>
      <w:r w:rsidRPr="00C91FAC">
        <w:rPr>
          <w:rFonts w:ascii="Times New Roman" w:hAnsi="Times New Roman" w:cs="Times New Roman"/>
        </w:rPr>
        <w:t xml:space="preserve">Importante notar que tais exigências devem estar estritamente amparadas por fundamentos técnicos e não meramente burocráticos, para não violar o princípio da competitividade. Caso contrário, podem gerar contestações administrativas e judiciais por restrição injustificada à concorrência. </w:t>
      </w:r>
    </w:p>
    <w:p w14:paraId="32AE395D" w14:textId="6D129E7C" w:rsidR="00147649" w:rsidRDefault="00147649" w:rsidP="00DC429A">
      <w:pPr>
        <w:spacing w:line="360" w:lineRule="auto"/>
        <w:ind w:firstLine="1134"/>
        <w:jc w:val="both"/>
        <w:rPr>
          <w:rFonts w:ascii="Times New Roman" w:hAnsi="Times New Roman" w:cs="Times New Roman"/>
        </w:rPr>
      </w:pPr>
      <w:r>
        <w:rPr>
          <w:rFonts w:ascii="Times New Roman" w:hAnsi="Times New Roman" w:cs="Times New Roman"/>
        </w:rPr>
        <w:t>Nas palavras de Ronny Charles Torres, “</w:t>
      </w:r>
      <w:r w:rsidRPr="00261706">
        <w:rPr>
          <w:rFonts w:ascii="Times New Roman" w:hAnsi="Times New Roman" w:cs="Times New Roman"/>
        </w:rPr>
        <w:t>todo reforço de exigência de habilitação, mesmo quando previsto na legislação, impõe uma restrição à competitividade, já que cada exigência, em tese, retira interessados do rol de prováveis licitantes”</w:t>
      </w:r>
      <w:r>
        <w:rPr>
          <w:rStyle w:val="Refdenotaderodap"/>
          <w:rFonts w:ascii="Times New Roman" w:hAnsi="Times New Roman" w:cs="Times New Roman"/>
          <w:sz w:val="22"/>
          <w:szCs w:val="22"/>
        </w:rPr>
        <w:footnoteReference w:id="12"/>
      </w:r>
      <w:r w:rsidRPr="0076092F">
        <w:rPr>
          <w:rFonts w:ascii="Times New Roman" w:hAnsi="Times New Roman" w:cs="Times New Roman"/>
          <w:sz w:val="22"/>
          <w:szCs w:val="22"/>
        </w:rPr>
        <w:t>.</w:t>
      </w:r>
      <w:r w:rsidR="00DC429A">
        <w:rPr>
          <w:rFonts w:ascii="Times New Roman" w:hAnsi="Times New Roman" w:cs="Times New Roman"/>
        </w:rPr>
        <w:t xml:space="preserve"> O problema não é a restrição da competitividade em si, mas sim quando esta é indevida.</w:t>
      </w:r>
    </w:p>
    <w:p w14:paraId="0463D7DE" w14:textId="7E56FDF1" w:rsidR="00C91FAC" w:rsidRDefault="00C91FAC" w:rsidP="00C91FAC">
      <w:pPr>
        <w:spacing w:line="360" w:lineRule="auto"/>
        <w:ind w:firstLine="1134"/>
        <w:jc w:val="both"/>
        <w:rPr>
          <w:rFonts w:ascii="Times New Roman" w:hAnsi="Times New Roman" w:cs="Times New Roman"/>
        </w:rPr>
      </w:pPr>
      <w:r w:rsidRPr="00C91FAC">
        <w:rPr>
          <w:rFonts w:ascii="Times New Roman" w:hAnsi="Times New Roman" w:cs="Times New Roman"/>
        </w:rPr>
        <w:t xml:space="preserve">Em suma, o uso do critério de </w:t>
      </w:r>
      <w:r w:rsidR="002A1624">
        <w:rPr>
          <w:rFonts w:ascii="Times New Roman" w:hAnsi="Times New Roman" w:cs="Times New Roman"/>
        </w:rPr>
        <w:t>“</w:t>
      </w:r>
      <w:r w:rsidRPr="00C91FAC">
        <w:rPr>
          <w:rFonts w:ascii="Times New Roman" w:hAnsi="Times New Roman" w:cs="Times New Roman"/>
        </w:rPr>
        <w:t xml:space="preserve">razoável impacto teórico sobre a execução do objeto" exige, acima de tudo, cautela e razoabilidade do intérprete, para que este esteja </w:t>
      </w:r>
      <w:r w:rsidRPr="00C91FAC">
        <w:rPr>
          <w:rFonts w:ascii="Times New Roman" w:hAnsi="Times New Roman" w:cs="Times New Roman"/>
        </w:rPr>
        <w:lastRenderedPageBreak/>
        <w:t>sempre alinhado aos princípios norteadores da Lei de Licitações e Contratos Administrativos, especialmente o interesse público, a eficiência e a motivação adequada de suas decisões.</w:t>
      </w:r>
    </w:p>
    <w:p w14:paraId="5BC4849F" w14:textId="6C3F8482" w:rsidR="00C91FAC" w:rsidRDefault="00DC429A" w:rsidP="00C91FAC">
      <w:pPr>
        <w:spacing w:line="360" w:lineRule="auto"/>
        <w:ind w:firstLine="1134"/>
        <w:jc w:val="both"/>
        <w:rPr>
          <w:rFonts w:ascii="Times New Roman" w:hAnsi="Times New Roman" w:cs="Times New Roman"/>
        </w:rPr>
      </w:pPr>
      <w:r>
        <w:rPr>
          <w:rFonts w:ascii="Times New Roman" w:hAnsi="Times New Roman" w:cs="Times New Roman"/>
        </w:rPr>
        <w:t>Nessa senda, são exigidos</w:t>
      </w:r>
      <w:r w:rsidRPr="00DC429A">
        <w:rPr>
          <w:rFonts w:ascii="Times New Roman" w:hAnsi="Times New Roman" w:cs="Times New Roman"/>
          <w:i/>
          <w:iCs/>
        </w:rPr>
        <w:t xml:space="preserve"> </w:t>
      </w:r>
      <w:r w:rsidRPr="002A1624">
        <w:rPr>
          <w:rFonts w:ascii="Times New Roman" w:hAnsi="Times New Roman" w:cs="Times New Roman"/>
          <w:i/>
          <w:iCs/>
        </w:rPr>
        <w:t>por razoável impacto teórico sobre a execução do objeto</w:t>
      </w:r>
      <w:r>
        <w:rPr>
          <w:rFonts w:ascii="Times New Roman" w:hAnsi="Times New Roman" w:cs="Times New Roman"/>
        </w:rPr>
        <w:t xml:space="preserve"> </w:t>
      </w:r>
      <w:r w:rsidR="00C91FAC">
        <w:rPr>
          <w:rFonts w:ascii="Times New Roman" w:hAnsi="Times New Roman" w:cs="Times New Roman"/>
        </w:rPr>
        <w:t xml:space="preserve">os documentos da habilitação técnica que não derivam de exigência legal, mas </w:t>
      </w:r>
      <w:r>
        <w:rPr>
          <w:rFonts w:ascii="Times New Roman" w:hAnsi="Times New Roman" w:cs="Times New Roman"/>
        </w:rPr>
        <w:t>os quais</w:t>
      </w:r>
      <w:r w:rsidR="00C91FAC">
        <w:rPr>
          <w:rFonts w:ascii="Times New Roman" w:hAnsi="Times New Roman" w:cs="Times New Roman"/>
        </w:rPr>
        <w:t xml:space="preserve"> a Administração considera razoável exigir para, teoricamente, aumentar a probabilidade da boa execução do objeto. Citamos como exemplo </w:t>
      </w:r>
      <w:r w:rsidR="008D005B">
        <w:rPr>
          <w:rFonts w:ascii="Times New Roman" w:hAnsi="Times New Roman" w:cs="Times New Roman"/>
        </w:rPr>
        <w:t xml:space="preserve">alguns documentos do art. 67 da Lei 14.133/2021 como </w:t>
      </w:r>
      <w:r w:rsidR="00C91FAC">
        <w:rPr>
          <w:rFonts w:ascii="Times New Roman" w:hAnsi="Times New Roman" w:cs="Times New Roman"/>
        </w:rPr>
        <w:t>os atestados de capacidade técnica</w:t>
      </w:r>
      <w:r w:rsidR="008D005B">
        <w:rPr>
          <w:rFonts w:ascii="Times New Roman" w:hAnsi="Times New Roman" w:cs="Times New Roman"/>
        </w:rPr>
        <w:t xml:space="preserve"> (inciso II)</w:t>
      </w:r>
      <w:r>
        <w:rPr>
          <w:rFonts w:ascii="Times New Roman" w:hAnsi="Times New Roman" w:cs="Times New Roman"/>
        </w:rPr>
        <w:t xml:space="preserve">; </w:t>
      </w:r>
      <w:r w:rsidR="008D005B" w:rsidRPr="008D005B">
        <w:rPr>
          <w:rFonts w:ascii="Times New Roman" w:hAnsi="Times New Roman" w:cs="Times New Roman"/>
        </w:rPr>
        <w:t>indicação do pessoal técnico, das instalações e do aparelhamento adequados e disponíveis para a realização do objeto da licitação, bem como da qualificação de cada membro da equipe técnica que se responsabilizará pelos trabalhos</w:t>
      </w:r>
      <w:r w:rsidR="008D005B">
        <w:rPr>
          <w:rFonts w:ascii="Times New Roman" w:hAnsi="Times New Roman" w:cs="Times New Roman"/>
        </w:rPr>
        <w:t xml:space="preserve"> (inciso III)</w:t>
      </w:r>
      <w:r>
        <w:rPr>
          <w:rFonts w:ascii="Times New Roman" w:hAnsi="Times New Roman" w:cs="Times New Roman"/>
        </w:rPr>
        <w:t>; e</w:t>
      </w:r>
      <w:r w:rsidR="008D005B" w:rsidRPr="008D005B">
        <w:t xml:space="preserve"> </w:t>
      </w:r>
      <w:r w:rsidR="008D005B" w:rsidRPr="008D005B">
        <w:rPr>
          <w:rFonts w:ascii="Times New Roman" w:hAnsi="Times New Roman" w:cs="Times New Roman"/>
        </w:rPr>
        <w:t>declaração de que o licitante tomou conhecimento de todas as informações e das condições locais para o cumprimento das obrigações objeto da licitação</w:t>
      </w:r>
      <w:r w:rsidR="008D005B">
        <w:rPr>
          <w:rFonts w:ascii="Times New Roman" w:hAnsi="Times New Roman" w:cs="Times New Roman"/>
        </w:rPr>
        <w:t xml:space="preserve"> (inciso VI).</w:t>
      </w:r>
    </w:p>
    <w:p w14:paraId="72384A2F" w14:textId="260A0FD8" w:rsidR="00357B91" w:rsidRDefault="00357B91" w:rsidP="00C91FAC">
      <w:pPr>
        <w:spacing w:line="360" w:lineRule="auto"/>
        <w:ind w:firstLine="1134"/>
        <w:jc w:val="both"/>
        <w:rPr>
          <w:rFonts w:ascii="Times New Roman" w:hAnsi="Times New Roman" w:cs="Times New Roman"/>
        </w:rPr>
      </w:pPr>
      <w:r>
        <w:rPr>
          <w:rFonts w:ascii="Times New Roman" w:hAnsi="Times New Roman" w:cs="Times New Roman"/>
        </w:rPr>
        <w:t>Os documentos de habilitação técnica que sejam obrigatórios por lei ou outro ato regulamentar são classificados como exigidos em decorrência do “p</w:t>
      </w:r>
      <w:r w:rsidRPr="00357B91">
        <w:rPr>
          <w:rFonts w:ascii="Times New Roman" w:hAnsi="Times New Roman" w:cs="Times New Roman"/>
        </w:rPr>
        <w:t>oder de polícia administrativa</w:t>
      </w:r>
      <w:r>
        <w:rPr>
          <w:rFonts w:ascii="Times New Roman" w:hAnsi="Times New Roman" w:cs="Times New Roman"/>
        </w:rPr>
        <w:t>”. Assim, caso haja normativo</w:t>
      </w:r>
      <w:r w:rsidR="00DC429A">
        <w:rPr>
          <w:rFonts w:ascii="Times New Roman" w:hAnsi="Times New Roman" w:cs="Times New Roman"/>
        </w:rPr>
        <w:t xml:space="preserve"> geral</w:t>
      </w:r>
      <w:r>
        <w:rPr>
          <w:rFonts w:ascii="Times New Roman" w:hAnsi="Times New Roman" w:cs="Times New Roman"/>
        </w:rPr>
        <w:t xml:space="preserve"> obrigando a existência de apresentação de profissional </w:t>
      </w:r>
      <w:r w:rsidR="00DC429A">
        <w:rPr>
          <w:rFonts w:ascii="Times New Roman" w:hAnsi="Times New Roman" w:cs="Times New Roman"/>
        </w:rPr>
        <w:t xml:space="preserve">com </w:t>
      </w:r>
      <w:r w:rsidRPr="00357B91">
        <w:rPr>
          <w:rFonts w:ascii="Times New Roman" w:hAnsi="Times New Roman" w:cs="Times New Roman"/>
        </w:rPr>
        <w:t>registro ou inscrição na entidade profissional competente</w:t>
      </w:r>
      <w:r>
        <w:rPr>
          <w:rFonts w:ascii="Times New Roman" w:hAnsi="Times New Roman" w:cs="Times New Roman"/>
        </w:rPr>
        <w:t xml:space="preserve">, </w:t>
      </w:r>
      <w:r w:rsidR="00DC429A">
        <w:rPr>
          <w:rFonts w:ascii="Times New Roman" w:hAnsi="Times New Roman" w:cs="Times New Roman"/>
        </w:rPr>
        <w:t>estaremos diante de obrigação decorrente do poder de polícia administrativa.</w:t>
      </w:r>
    </w:p>
    <w:p w14:paraId="119A1D7C" w14:textId="02690B4D" w:rsidR="008D005B" w:rsidRDefault="008D005B" w:rsidP="00C91FAC">
      <w:pPr>
        <w:spacing w:line="360" w:lineRule="auto"/>
        <w:ind w:firstLine="1134"/>
        <w:jc w:val="both"/>
        <w:rPr>
          <w:rFonts w:ascii="Times New Roman" w:hAnsi="Times New Roman" w:cs="Times New Roman"/>
        </w:rPr>
      </w:pPr>
      <w:r>
        <w:rPr>
          <w:rFonts w:ascii="Times New Roman" w:hAnsi="Times New Roman" w:cs="Times New Roman"/>
        </w:rPr>
        <w:t>É essencial</w:t>
      </w:r>
      <w:r w:rsidR="00D346EB">
        <w:rPr>
          <w:rFonts w:ascii="Times New Roman" w:hAnsi="Times New Roman" w:cs="Times New Roman"/>
        </w:rPr>
        <w:t xml:space="preserve"> perceber que esses documentos que a Administração decide exigir “por </w:t>
      </w:r>
      <w:r w:rsidR="00D346EB" w:rsidRPr="00D346EB">
        <w:rPr>
          <w:rFonts w:ascii="Times New Roman" w:hAnsi="Times New Roman" w:cs="Times New Roman"/>
        </w:rPr>
        <w:t>razoável impacto teórico sobre a execução do objeto</w:t>
      </w:r>
      <w:r w:rsidR="00D346EB">
        <w:rPr>
          <w:rFonts w:ascii="Times New Roman" w:hAnsi="Times New Roman" w:cs="Times New Roman"/>
        </w:rPr>
        <w:t xml:space="preserve">” não são obrigatórios nas contratações em geral para aquele objeto. É o administrador público que, utilizando seu </w:t>
      </w:r>
      <w:r w:rsidR="00DC429A">
        <w:rPr>
          <w:rFonts w:ascii="Times New Roman" w:hAnsi="Times New Roman" w:cs="Times New Roman"/>
        </w:rPr>
        <w:t>juízo</w:t>
      </w:r>
      <w:r w:rsidR="00D346EB">
        <w:rPr>
          <w:rFonts w:ascii="Times New Roman" w:hAnsi="Times New Roman" w:cs="Times New Roman"/>
        </w:rPr>
        <w:t xml:space="preserve"> de conveniência e oportunidade, sempre com vista à concretização do interesse público, decide “reforçar” as exigências mínimas legais com critérios razoáveis. São exigências específicas para aquela contratação com a Administração. Caso o objeto fosse contratado com um particular, não haveria obrigatoriedade de entregar tais documentos, a menos que o contratante exigisse</w:t>
      </w:r>
      <w:r w:rsidR="00DC429A">
        <w:rPr>
          <w:rFonts w:ascii="Times New Roman" w:hAnsi="Times New Roman" w:cs="Times New Roman"/>
        </w:rPr>
        <w:t xml:space="preserve"> por sua vontade</w:t>
      </w:r>
      <w:r w:rsidR="00D346EB">
        <w:rPr>
          <w:rFonts w:ascii="Times New Roman" w:hAnsi="Times New Roman" w:cs="Times New Roman"/>
        </w:rPr>
        <w:t>.</w:t>
      </w:r>
    </w:p>
    <w:p w14:paraId="06F74C45" w14:textId="6619DFD6" w:rsidR="00D346EB" w:rsidRDefault="00DC429A" w:rsidP="00C91FAC">
      <w:pPr>
        <w:spacing w:line="360" w:lineRule="auto"/>
        <w:ind w:firstLine="1134"/>
        <w:jc w:val="both"/>
        <w:rPr>
          <w:rFonts w:ascii="Times New Roman" w:hAnsi="Times New Roman" w:cs="Times New Roman"/>
        </w:rPr>
      </w:pPr>
      <w:r>
        <w:rPr>
          <w:rFonts w:ascii="Times New Roman" w:hAnsi="Times New Roman" w:cs="Times New Roman"/>
        </w:rPr>
        <w:t>Nessa trilha</w:t>
      </w:r>
      <w:r w:rsidR="00D346EB">
        <w:rPr>
          <w:rFonts w:ascii="Times New Roman" w:hAnsi="Times New Roman" w:cs="Times New Roman"/>
        </w:rPr>
        <w:t xml:space="preserve">, </w:t>
      </w:r>
      <w:r>
        <w:rPr>
          <w:rFonts w:ascii="Times New Roman" w:hAnsi="Times New Roman" w:cs="Times New Roman"/>
        </w:rPr>
        <w:t xml:space="preserve">é possível concluir que </w:t>
      </w:r>
      <w:r w:rsidR="00D346EB">
        <w:rPr>
          <w:rFonts w:ascii="Times New Roman" w:hAnsi="Times New Roman" w:cs="Times New Roman"/>
        </w:rPr>
        <w:t xml:space="preserve">a dispensa de documentos de habilitação do art. 70, inciso III, da Lei 14.133/2021 tem pouco efeito prático sobre esse tipo de documento. Isso porque </w:t>
      </w:r>
      <w:r>
        <w:rPr>
          <w:rFonts w:ascii="Times New Roman" w:hAnsi="Times New Roman" w:cs="Times New Roman"/>
        </w:rPr>
        <w:t>estes</w:t>
      </w:r>
      <w:r w:rsidR="00D346EB">
        <w:rPr>
          <w:rFonts w:ascii="Times New Roman" w:hAnsi="Times New Roman" w:cs="Times New Roman"/>
        </w:rPr>
        <w:t xml:space="preserve"> já </w:t>
      </w:r>
      <w:r>
        <w:rPr>
          <w:rFonts w:ascii="Times New Roman" w:hAnsi="Times New Roman" w:cs="Times New Roman"/>
        </w:rPr>
        <w:t>não eram exigidos por obrigação normativa</w:t>
      </w:r>
      <w:r w:rsidR="00D346EB">
        <w:rPr>
          <w:rFonts w:ascii="Times New Roman" w:hAnsi="Times New Roman" w:cs="Times New Roman"/>
        </w:rPr>
        <w:t xml:space="preserve">, foi a Administração Pública que julgou ser conveniente e oportuno </w:t>
      </w:r>
      <w:r>
        <w:rPr>
          <w:rFonts w:ascii="Times New Roman" w:hAnsi="Times New Roman" w:cs="Times New Roman"/>
        </w:rPr>
        <w:t>requerê</w:t>
      </w:r>
      <w:r w:rsidR="00D346EB">
        <w:rPr>
          <w:rFonts w:ascii="Times New Roman" w:hAnsi="Times New Roman" w:cs="Times New Roman"/>
        </w:rPr>
        <w:t>-los. Ou seja, caso a Administração quisesse dispensá-lo</w:t>
      </w:r>
      <w:r>
        <w:rPr>
          <w:rFonts w:ascii="Times New Roman" w:hAnsi="Times New Roman" w:cs="Times New Roman"/>
        </w:rPr>
        <w:t>s</w:t>
      </w:r>
      <w:r w:rsidR="00D346EB">
        <w:rPr>
          <w:rFonts w:ascii="Times New Roman" w:hAnsi="Times New Roman" w:cs="Times New Roman"/>
        </w:rPr>
        <w:t xml:space="preserve">, não haveria necessidade de se socorrer </w:t>
      </w:r>
      <w:r>
        <w:rPr>
          <w:rFonts w:ascii="Times New Roman" w:hAnsi="Times New Roman" w:cs="Times New Roman"/>
        </w:rPr>
        <w:t>da</w:t>
      </w:r>
      <w:r w:rsidR="00D346EB">
        <w:rPr>
          <w:rFonts w:ascii="Times New Roman" w:hAnsi="Times New Roman" w:cs="Times New Roman"/>
        </w:rPr>
        <w:t xml:space="preserve"> autorização legal do citado art. 70, </w:t>
      </w:r>
      <w:r>
        <w:rPr>
          <w:rFonts w:ascii="Times New Roman" w:hAnsi="Times New Roman" w:cs="Times New Roman"/>
        </w:rPr>
        <w:t xml:space="preserve">esta não estava obrigada </w:t>
      </w:r>
      <w:r w:rsidR="00B30452">
        <w:rPr>
          <w:rFonts w:ascii="Times New Roman" w:hAnsi="Times New Roman" w:cs="Times New Roman"/>
        </w:rPr>
        <w:t>a exigi-los</w:t>
      </w:r>
      <w:r w:rsidR="00D346EB">
        <w:rPr>
          <w:rFonts w:ascii="Times New Roman" w:hAnsi="Times New Roman" w:cs="Times New Roman"/>
        </w:rPr>
        <w:t>.</w:t>
      </w:r>
    </w:p>
    <w:p w14:paraId="6DE78873" w14:textId="5200B305" w:rsidR="00D71439" w:rsidRPr="00D71439" w:rsidRDefault="00D71439" w:rsidP="00D71439">
      <w:pPr>
        <w:spacing w:line="360" w:lineRule="auto"/>
        <w:ind w:firstLine="1134"/>
        <w:jc w:val="both"/>
      </w:pPr>
      <w:r w:rsidRPr="00D71439">
        <w:rPr>
          <w:rFonts w:ascii="Times New Roman" w:hAnsi="Times New Roman" w:cs="Times New Roman"/>
        </w:rPr>
        <w:t xml:space="preserve">Os documentos relativos à habilitação econômico-financeira situam-se precisamente no núcleo daqueles cuja exigência decorre de um razoável impacto teórico </w:t>
      </w:r>
      <w:r w:rsidRPr="00D71439">
        <w:rPr>
          <w:rFonts w:ascii="Times New Roman" w:hAnsi="Times New Roman" w:cs="Times New Roman"/>
        </w:rPr>
        <w:lastRenderedPageBreak/>
        <w:t>sobre a execução do objeto contratado. Tais documentos têm como objetivo central assegurar que o licitante possui saúde financeira suficiente para suportar, com razoável segurança, a execução das obrigações assumidas perante a Administração Pública, especialmente no tocante aos riscos de inadimplemento, interrupção ou retardamento indevido do objeto.</w:t>
      </w:r>
    </w:p>
    <w:p w14:paraId="666A9C8F" w14:textId="1049DF8F" w:rsidR="00D71439" w:rsidRPr="00D71439" w:rsidRDefault="00D71439" w:rsidP="00D71439">
      <w:pPr>
        <w:spacing w:line="360" w:lineRule="auto"/>
        <w:ind w:firstLine="1134"/>
        <w:jc w:val="both"/>
        <w:rPr>
          <w:rFonts w:ascii="Times New Roman" w:hAnsi="Times New Roman" w:cs="Times New Roman"/>
        </w:rPr>
      </w:pPr>
      <w:r w:rsidRPr="00D71439">
        <w:rPr>
          <w:rFonts w:ascii="Times New Roman" w:hAnsi="Times New Roman" w:cs="Times New Roman"/>
        </w:rPr>
        <w:t xml:space="preserve">A Lei 14.133/2021, no seu artigo 69, detalha </w:t>
      </w:r>
      <w:r w:rsidR="00B30452">
        <w:rPr>
          <w:rFonts w:ascii="Times New Roman" w:hAnsi="Times New Roman" w:cs="Times New Roman"/>
        </w:rPr>
        <w:t xml:space="preserve">as </w:t>
      </w:r>
      <w:r w:rsidRPr="00D71439">
        <w:rPr>
          <w:rFonts w:ascii="Times New Roman" w:hAnsi="Times New Roman" w:cs="Times New Roman"/>
        </w:rPr>
        <w:t xml:space="preserve">exigências </w:t>
      </w:r>
      <w:r w:rsidR="00B30452">
        <w:rPr>
          <w:rFonts w:ascii="Times New Roman" w:hAnsi="Times New Roman" w:cs="Times New Roman"/>
        </w:rPr>
        <w:t xml:space="preserve">máximas </w:t>
      </w:r>
      <w:r w:rsidRPr="00D71439">
        <w:rPr>
          <w:rFonts w:ascii="Times New Roman" w:hAnsi="Times New Roman" w:cs="Times New Roman"/>
        </w:rPr>
        <w:t xml:space="preserve">possíveis para comprovar essa capacidade econômico-financeira. </w:t>
      </w:r>
      <w:r w:rsidR="00B30452">
        <w:rPr>
          <w:rFonts w:ascii="Times New Roman" w:hAnsi="Times New Roman" w:cs="Times New Roman"/>
        </w:rPr>
        <w:t xml:space="preserve">Note-se que </w:t>
      </w:r>
      <w:r w:rsidRPr="00D71439">
        <w:rPr>
          <w:rFonts w:ascii="Times New Roman" w:hAnsi="Times New Roman" w:cs="Times New Roman"/>
        </w:rPr>
        <w:t xml:space="preserve">não há, na essência dessas exigências, uma ligação direta com a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sidRPr="00D71439">
        <w:rPr>
          <w:rFonts w:ascii="Times New Roman" w:hAnsi="Times New Roman" w:cs="Times New Roman"/>
        </w:rPr>
        <w:t xml:space="preserve">, nem se trata de exercício do poder de polícia administrativa ou </w:t>
      </w:r>
      <w:r>
        <w:rPr>
          <w:rFonts w:ascii="Times New Roman" w:hAnsi="Times New Roman" w:cs="Times New Roman"/>
        </w:rPr>
        <w:t xml:space="preserve">de </w:t>
      </w:r>
      <w:r w:rsidRPr="00D71439">
        <w:rPr>
          <w:rFonts w:ascii="Times New Roman" w:hAnsi="Times New Roman" w:cs="Times New Roman"/>
        </w:rPr>
        <w:t>implemento de política pública.</w:t>
      </w:r>
    </w:p>
    <w:p w14:paraId="230512A9" w14:textId="0C378443" w:rsidR="00D71439" w:rsidRPr="00D71439" w:rsidRDefault="00D71439" w:rsidP="00D71439">
      <w:pPr>
        <w:spacing w:line="360" w:lineRule="auto"/>
        <w:ind w:firstLine="1134"/>
        <w:jc w:val="both"/>
        <w:rPr>
          <w:rFonts w:ascii="Times New Roman" w:hAnsi="Times New Roman" w:cs="Times New Roman"/>
        </w:rPr>
      </w:pPr>
      <w:r w:rsidRPr="00D71439">
        <w:rPr>
          <w:rFonts w:ascii="Times New Roman" w:hAnsi="Times New Roman" w:cs="Times New Roman"/>
        </w:rPr>
        <w:t xml:space="preserve">Com efeito, o exame da saúde econômico-financeira do licitante não é requisito absoluto e inafastável em toda e qualquer contratação pública, mas advém de uma análise técnico-gerencial dos riscos específicos do objeto a ser contratado. Tal análise </w:t>
      </w:r>
      <w:r w:rsidR="00B30452">
        <w:rPr>
          <w:rFonts w:ascii="Times New Roman" w:hAnsi="Times New Roman" w:cs="Times New Roman"/>
        </w:rPr>
        <w:t>deve considerar</w:t>
      </w:r>
      <w:r w:rsidRPr="00D71439">
        <w:rPr>
          <w:rFonts w:ascii="Times New Roman" w:hAnsi="Times New Roman" w:cs="Times New Roman"/>
        </w:rPr>
        <w:t xml:space="preserve"> aspectos como o volume financeiro da contratação, a complexidade técnica e econômica do objeto, o impacto financeiro na execução contratual, o grau de dependência da Administração em relação àquele objeto e, sobretudo, os prejuízos potenciais ao interesse público decorrentes de eventual inadimplemento contratual.</w:t>
      </w:r>
    </w:p>
    <w:p w14:paraId="14A9A8C6" w14:textId="73F1DE81" w:rsidR="00D71439" w:rsidRPr="00D71439" w:rsidRDefault="00D71439" w:rsidP="00D71439">
      <w:pPr>
        <w:spacing w:line="360" w:lineRule="auto"/>
        <w:ind w:firstLine="1134"/>
        <w:jc w:val="both"/>
        <w:rPr>
          <w:rFonts w:ascii="Times New Roman" w:hAnsi="Times New Roman" w:cs="Times New Roman"/>
        </w:rPr>
      </w:pPr>
      <w:r w:rsidRPr="00D71439">
        <w:rPr>
          <w:rFonts w:ascii="Times New Roman" w:hAnsi="Times New Roman" w:cs="Times New Roman"/>
        </w:rPr>
        <w:t>Nessa linha de raciocínio, o princípio da proporcionalidade</w:t>
      </w:r>
      <w:r w:rsidR="00647817">
        <w:rPr>
          <w:rFonts w:ascii="Times New Roman" w:hAnsi="Times New Roman" w:cs="Times New Roman"/>
        </w:rPr>
        <w:t xml:space="preserve"> –</w:t>
      </w:r>
      <w:r>
        <w:rPr>
          <w:rFonts w:ascii="Times New Roman" w:hAnsi="Times New Roman" w:cs="Times New Roman"/>
        </w:rPr>
        <w:t xml:space="preserve"> em seus </w:t>
      </w:r>
      <w:r w:rsidR="00647817">
        <w:rPr>
          <w:rFonts w:ascii="Times New Roman" w:hAnsi="Times New Roman" w:cs="Times New Roman"/>
        </w:rPr>
        <w:t>subprincípios necessidade, adequação e proporcionalidade em sentido estrito –</w:t>
      </w:r>
      <w:r w:rsidRPr="00D71439">
        <w:rPr>
          <w:rFonts w:ascii="Times New Roman" w:hAnsi="Times New Roman" w:cs="Times New Roman"/>
        </w:rPr>
        <w:t xml:space="preserve"> serve como norte hermenêutico ao intérprete ao estabelecer essas exigências. Não se trata de realizar uma análise financeira arbitrária, mas sim de fundamentar tecnicamente cada exigência no sentido de que elas estejam justificadas pelo razoável impacto que a situação financeira do licitante possa ter sobre a execução satisfatória do objeto. Daí decorre a necessidade de elaboração detalhada de estudos técnicos preliminares, que demonstrem com clareza a relação direta entre os critérios econômico-financeiros exigidos e o risco envolvido naquela contratação específica.</w:t>
      </w:r>
    </w:p>
    <w:p w14:paraId="63A6E3AA" w14:textId="4C35423F" w:rsidR="00B30452" w:rsidRDefault="00D71439" w:rsidP="00D71439">
      <w:pPr>
        <w:spacing w:line="360" w:lineRule="auto"/>
        <w:ind w:firstLine="1134"/>
        <w:jc w:val="both"/>
        <w:rPr>
          <w:rFonts w:ascii="Times New Roman" w:hAnsi="Times New Roman" w:cs="Times New Roman"/>
        </w:rPr>
      </w:pPr>
      <w:r w:rsidRPr="00D71439">
        <w:rPr>
          <w:rFonts w:ascii="Times New Roman" w:hAnsi="Times New Roman" w:cs="Times New Roman"/>
        </w:rPr>
        <w:t xml:space="preserve">Importa destacar ainda que a jurisprudência consolidada pelo Tribunal de Contas da União (TCU) tem apontado que as exigências de habilitação econômico-financeira devem ser estritamente proporcionais à dimensão e complexidade do objeto, com vistas a não restringir indevidamente a competitividade ou gerar impactos negativos no certame licitatório. </w:t>
      </w:r>
      <w:r w:rsidR="00B30452">
        <w:rPr>
          <w:rFonts w:ascii="Times New Roman" w:hAnsi="Times New Roman" w:cs="Times New Roman"/>
        </w:rPr>
        <w:t>Vejamos dois entendimentos sumulados do Tribunal:</w:t>
      </w:r>
    </w:p>
    <w:p w14:paraId="2EB6E926" w14:textId="737409E9" w:rsidR="00B30452" w:rsidRDefault="00B30452"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B30452">
        <w:rPr>
          <w:rFonts w:ascii="Calibri" w:hAnsi="Calibri" w:cs="Calibri"/>
        </w:rPr>
        <w:t>﻿</w:t>
      </w:r>
      <w:r w:rsidRPr="00B30452">
        <w:rPr>
          <w:rFonts w:ascii="Times New Roman" w:hAnsi="Times New Roman" w:cs="Times New Roman"/>
          <w:sz w:val="22"/>
          <w:szCs w:val="22"/>
        </w:rPr>
        <w:t xml:space="preserve">Súmula TCU 289: A exigência de índices contábeis de capacidade financeira, a exemplo dos de liquidez, deve estar justificada no processo da licitação, conter </w:t>
      </w:r>
      <w:r w:rsidRPr="00B30452">
        <w:rPr>
          <w:rFonts w:ascii="Times New Roman" w:hAnsi="Times New Roman" w:cs="Times New Roman"/>
          <w:sz w:val="22"/>
          <w:szCs w:val="22"/>
        </w:rPr>
        <w:lastRenderedPageBreak/>
        <w:t>parâmetros atualizados de mercado e atender às características do objeto licitado, sendo vedado o uso de índice cuja fórmula inclua rentabilidade ou lucratividade.</w:t>
      </w:r>
    </w:p>
    <w:p w14:paraId="5E25CBE3" w14:textId="77777777" w:rsidR="00B30452" w:rsidRPr="00B30452" w:rsidRDefault="00B30452"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269A6750" w14:textId="284EE3D3" w:rsidR="00B30452" w:rsidRDefault="00B30452"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B30452">
        <w:rPr>
          <w:rFonts w:ascii="Times New Roman" w:hAnsi="Times New Roman" w:cs="Times New Roman"/>
          <w:sz w:val="22"/>
          <w:szCs w:val="22"/>
        </w:rPr>
        <w:t>Súmula TCU 275: Para fins de qualificação econômico-financeira, a Administração pode exigir dos licitantes, de forma não cumulativa, capital social mínimo, patrimônio líquido mínimo ou garantias que assegurem o adimplemento do contrato a ser celebrado, no caso de compras para entrega futura e de execução de obras e serviços.</w:t>
      </w:r>
    </w:p>
    <w:p w14:paraId="386AA1D4" w14:textId="77777777" w:rsidR="00B30452" w:rsidRPr="00B30452" w:rsidRDefault="00B30452"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1A0AE216" w14:textId="0F0DC77D" w:rsidR="00D71439" w:rsidRPr="00D71439" w:rsidRDefault="00D71439" w:rsidP="00D71439">
      <w:pPr>
        <w:spacing w:line="360" w:lineRule="auto"/>
        <w:ind w:firstLine="1134"/>
        <w:jc w:val="both"/>
        <w:rPr>
          <w:rFonts w:ascii="Times New Roman" w:hAnsi="Times New Roman" w:cs="Times New Roman"/>
        </w:rPr>
      </w:pPr>
      <w:r w:rsidRPr="00D71439">
        <w:rPr>
          <w:rFonts w:ascii="Times New Roman" w:hAnsi="Times New Roman" w:cs="Times New Roman"/>
        </w:rPr>
        <w:t xml:space="preserve">Portanto, fica evidente que a documentação relativa à habilitação econômico-financeira integra o grupo dos documentos cuja exigibilidade se apoia numa construção técnica e teórica da relação causal entre a situação financeira dos licitantes e o sucesso da execução </w:t>
      </w:r>
      <w:r w:rsidR="00B30452">
        <w:rPr>
          <w:rFonts w:ascii="Times New Roman" w:hAnsi="Times New Roman" w:cs="Times New Roman"/>
        </w:rPr>
        <w:t>da contratação</w:t>
      </w:r>
      <w:r w:rsidRPr="00D71439">
        <w:rPr>
          <w:rFonts w:ascii="Times New Roman" w:hAnsi="Times New Roman" w:cs="Times New Roman"/>
        </w:rPr>
        <w:t xml:space="preserve">. Não sendo uma imposição absoluta </w:t>
      </w:r>
      <w:r w:rsidR="00B30452">
        <w:rPr>
          <w:rFonts w:ascii="Times New Roman" w:hAnsi="Times New Roman" w:cs="Times New Roman"/>
        </w:rPr>
        <w:t xml:space="preserve">nem </w:t>
      </w:r>
      <w:r w:rsidRPr="00D71439">
        <w:rPr>
          <w:rFonts w:ascii="Times New Roman" w:hAnsi="Times New Roman" w:cs="Times New Roman"/>
        </w:rPr>
        <w:t>de caráter universal, é fruto do juízo discricionário-administrativo qualificado pela fundamentação técnica específica, resultante do cuidadoso exercício da análise de risco contratual, sempre pautado pelos limites impostos pela razoabilidade, proporcionalidade e motivação adequada.</w:t>
      </w:r>
    </w:p>
    <w:p w14:paraId="6383AD8A" w14:textId="3FE03466" w:rsidR="00926E7B" w:rsidRDefault="00D71439" w:rsidP="00926E7B">
      <w:pPr>
        <w:spacing w:line="360" w:lineRule="auto"/>
        <w:ind w:firstLine="1134"/>
        <w:jc w:val="both"/>
        <w:rPr>
          <w:rFonts w:ascii="Times New Roman" w:hAnsi="Times New Roman" w:cs="Times New Roman"/>
        </w:rPr>
      </w:pPr>
      <w:r w:rsidRPr="00D71439">
        <w:rPr>
          <w:rFonts w:ascii="Times New Roman" w:hAnsi="Times New Roman" w:cs="Times New Roman"/>
        </w:rPr>
        <w:t>Dessa maneira, é fundamental que o administrador público compreenda a responsabilidade que assume ao formular tais exigências. Elas devem sempre ser motivadas por evidências técnicas sólidas, não podendo derivar de meras preferências pessoais ou excesso de cautela não fundamentada</w:t>
      </w:r>
      <w:r w:rsidR="00B30452">
        <w:rPr>
          <w:rFonts w:ascii="Times New Roman" w:hAnsi="Times New Roman" w:cs="Times New Roman"/>
        </w:rPr>
        <w:t>, a fim de não restringir indevidamente a competitividade</w:t>
      </w:r>
      <w:r w:rsidRPr="00D71439">
        <w:rPr>
          <w:rFonts w:ascii="Times New Roman" w:hAnsi="Times New Roman" w:cs="Times New Roman"/>
        </w:rPr>
        <w:t>.</w:t>
      </w:r>
      <w:r w:rsidR="00647817">
        <w:rPr>
          <w:rFonts w:ascii="Times New Roman" w:hAnsi="Times New Roman" w:cs="Times New Roman"/>
        </w:rPr>
        <w:t xml:space="preserve"> Caso não seja demonstrada a necessidade</w:t>
      </w:r>
      <w:r w:rsidR="005E4AA2">
        <w:rPr>
          <w:rFonts w:ascii="Times New Roman" w:hAnsi="Times New Roman" w:cs="Times New Roman"/>
        </w:rPr>
        <w:t xml:space="preserve">, adequação e proporcionalidade da exigência, </w:t>
      </w:r>
      <w:r w:rsidR="00B30452">
        <w:rPr>
          <w:rFonts w:ascii="Times New Roman" w:hAnsi="Times New Roman" w:cs="Times New Roman"/>
        </w:rPr>
        <w:t>a Administração</w:t>
      </w:r>
      <w:r w:rsidR="005E4AA2">
        <w:rPr>
          <w:rFonts w:ascii="Times New Roman" w:hAnsi="Times New Roman" w:cs="Times New Roman"/>
        </w:rPr>
        <w:t xml:space="preserve"> deve</w:t>
      </w:r>
      <w:r w:rsidR="00B30452">
        <w:rPr>
          <w:rFonts w:ascii="Times New Roman" w:hAnsi="Times New Roman" w:cs="Times New Roman"/>
        </w:rPr>
        <w:t>rá</w:t>
      </w:r>
      <w:r w:rsidR="005E4AA2">
        <w:rPr>
          <w:rFonts w:ascii="Times New Roman" w:hAnsi="Times New Roman" w:cs="Times New Roman"/>
        </w:rPr>
        <w:t xml:space="preserve"> </w:t>
      </w:r>
      <w:r w:rsidR="00B30452">
        <w:rPr>
          <w:rFonts w:ascii="Times New Roman" w:hAnsi="Times New Roman" w:cs="Times New Roman"/>
        </w:rPr>
        <w:t>deixar de exigi-los</w:t>
      </w:r>
      <w:r w:rsidR="005E4AA2">
        <w:rPr>
          <w:rFonts w:ascii="Times New Roman" w:hAnsi="Times New Roman" w:cs="Times New Roman"/>
        </w:rPr>
        <w:t>.</w:t>
      </w:r>
    </w:p>
    <w:p w14:paraId="0F5A4769" w14:textId="2DAD1176" w:rsidR="00926E7B" w:rsidRPr="00926E7B" w:rsidRDefault="00A66A31" w:rsidP="00926E7B">
      <w:pPr>
        <w:spacing w:line="360" w:lineRule="auto"/>
        <w:ind w:firstLine="1134"/>
        <w:jc w:val="both"/>
        <w:rPr>
          <w:rFonts w:ascii="Times New Roman" w:hAnsi="Times New Roman" w:cs="Times New Roman"/>
        </w:rPr>
      </w:pPr>
      <w:r>
        <w:rPr>
          <w:rFonts w:ascii="Times New Roman" w:hAnsi="Times New Roman" w:cs="Times New Roman"/>
        </w:rPr>
        <w:t xml:space="preserve">Nessa linha, </w:t>
      </w:r>
      <w:r w:rsidR="00926E7B" w:rsidRPr="00926E7B">
        <w:rPr>
          <w:rFonts w:ascii="Times New Roman" w:hAnsi="Times New Roman" w:cs="Times New Roman"/>
        </w:rPr>
        <w:t>o Tribunal de Contas do Estado de Pernambuco (TCE-PE) firmou entendimento recente:</w:t>
      </w:r>
    </w:p>
    <w:p w14:paraId="15724D48" w14:textId="77777777" w:rsidR="00926E7B" w:rsidRPr="001F6214" w:rsidRDefault="00926E7B" w:rsidP="00926E7B">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1F6214">
        <w:rPr>
          <w:rFonts w:ascii="Times New Roman" w:hAnsi="Times New Roman" w:cs="Times New Roman"/>
          <w:sz w:val="22"/>
          <w:szCs w:val="22"/>
        </w:rPr>
        <w:t>A exigência de balanço patrimonial prevista no art. 69, inciso I, da Lei Federal nº 14.133 /2021 representa o máximo permitido e não o mínimo obrigatório, cabendo à Administração, mediante justificativa, definir os requisitos de habilitação econômico-financeira proporcionais à complexidade do objeto licitado</w:t>
      </w:r>
    </w:p>
    <w:p w14:paraId="5D0B773B" w14:textId="77777777" w:rsidR="00926E7B" w:rsidRDefault="00926E7B" w:rsidP="00926E7B">
      <w:pPr>
        <w:pStyle w:val="PargrafodaLista"/>
        <w:widowControl w:val="0"/>
        <w:tabs>
          <w:tab w:val="left" w:pos="1701"/>
        </w:tabs>
        <w:kinsoku w:val="0"/>
        <w:overflowPunct w:val="0"/>
        <w:autoSpaceDE w:val="0"/>
        <w:autoSpaceDN w:val="0"/>
        <w:adjustRightInd w:val="0"/>
        <w:spacing w:before="120" w:after="120"/>
        <w:ind w:left="1418" w:right="110"/>
        <w:rPr>
          <w:rFonts w:ascii="Times New Roman" w:hAnsi="Times New Roman" w:cs="Times New Roman"/>
          <w:sz w:val="22"/>
          <w:szCs w:val="22"/>
        </w:rPr>
      </w:pPr>
      <w:r w:rsidRPr="001F6214">
        <w:rPr>
          <w:rFonts w:ascii="Times New Roman" w:hAnsi="Times New Roman" w:cs="Times New Roman"/>
          <w:sz w:val="22"/>
          <w:szCs w:val="22"/>
        </w:rPr>
        <w:t>(Acórdão 1034/2025 - TCE-PE-Primeira Câmara)</w:t>
      </w:r>
    </w:p>
    <w:p w14:paraId="02CDACEF" w14:textId="77777777" w:rsidR="00B30452" w:rsidRPr="001F6214" w:rsidRDefault="00B30452" w:rsidP="00926E7B">
      <w:pPr>
        <w:pStyle w:val="PargrafodaLista"/>
        <w:widowControl w:val="0"/>
        <w:tabs>
          <w:tab w:val="left" w:pos="1701"/>
        </w:tabs>
        <w:kinsoku w:val="0"/>
        <w:overflowPunct w:val="0"/>
        <w:autoSpaceDE w:val="0"/>
        <w:autoSpaceDN w:val="0"/>
        <w:adjustRightInd w:val="0"/>
        <w:spacing w:before="120" w:after="120"/>
        <w:ind w:left="1418" w:right="110"/>
        <w:rPr>
          <w:rFonts w:ascii="Times New Roman" w:hAnsi="Times New Roman" w:cs="Times New Roman"/>
          <w:sz w:val="22"/>
          <w:szCs w:val="22"/>
        </w:rPr>
      </w:pPr>
    </w:p>
    <w:p w14:paraId="0DB5AF89" w14:textId="7B6EF8D7" w:rsidR="00A66A31" w:rsidRDefault="004F65B3" w:rsidP="00D71439">
      <w:pPr>
        <w:spacing w:line="360" w:lineRule="auto"/>
        <w:ind w:firstLine="1134"/>
        <w:jc w:val="both"/>
        <w:rPr>
          <w:rFonts w:ascii="Times New Roman" w:hAnsi="Times New Roman" w:cs="Times New Roman"/>
        </w:rPr>
      </w:pPr>
      <w:r>
        <w:rPr>
          <w:rFonts w:ascii="Times New Roman" w:hAnsi="Times New Roman" w:cs="Times New Roman"/>
        </w:rPr>
        <w:t>Ness</w:t>
      </w:r>
      <w:r w:rsidR="006C5125">
        <w:rPr>
          <w:rFonts w:ascii="Times New Roman" w:hAnsi="Times New Roman" w:cs="Times New Roman"/>
        </w:rPr>
        <w:t>a senda também trilham Marcus Alcântara e Ronny Charles Torres:</w:t>
      </w:r>
    </w:p>
    <w:p w14:paraId="16862A7D" w14:textId="77777777" w:rsidR="006C5125" w:rsidRPr="001F6214" w:rsidRDefault="006C5125" w:rsidP="005D6BC3">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1F6214">
        <w:rPr>
          <w:rFonts w:ascii="Times New Roman" w:hAnsi="Times New Roman" w:cs="Times New Roman"/>
          <w:sz w:val="22"/>
          <w:szCs w:val="22"/>
        </w:rPr>
        <w:t xml:space="preserve">A Lei nº 14.133/2021 estabeleceu no seu artigo 69 os limites para exigência de habilitação econômico-financeira. </w:t>
      </w:r>
      <w:r w:rsidRPr="005D6BC3">
        <w:rPr>
          <w:rFonts w:ascii="Times New Roman" w:hAnsi="Times New Roman" w:cs="Times New Roman"/>
          <w:sz w:val="22"/>
          <w:szCs w:val="22"/>
        </w:rPr>
        <w:t>Seu texto não induz que todos os documentos devam ser exigidos.</w:t>
      </w:r>
      <w:r w:rsidRPr="001F6214">
        <w:rPr>
          <w:rFonts w:ascii="Times New Roman" w:hAnsi="Times New Roman" w:cs="Times New Roman"/>
          <w:sz w:val="22"/>
          <w:szCs w:val="22"/>
        </w:rPr>
        <w:t xml:space="preserve"> O caput do referido artigo reforça esta ideia, ao exigir justificativa no processo licitatório. </w:t>
      </w:r>
    </w:p>
    <w:p w14:paraId="20C3E71E" w14:textId="276FF80F" w:rsidR="006C5125" w:rsidRDefault="006C5125"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r w:rsidRPr="001F6214">
        <w:rPr>
          <w:rFonts w:ascii="Times New Roman" w:hAnsi="Times New Roman" w:cs="Times New Roman"/>
          <w:sz w:val="22"/>
          <w:szCs w:val="22"/>
        </w:rPr>
        <w:t>Desse modo</w:t>
      </w:r>
      <w:r w:rsidRPr="005D6BC3">
        <w:rPr>
          <w:rFonts w:ascii="Times New Roman" w:hAnsi="Times New Roman" w:cs="Times New Roman"/>
          <w:sz w:val="22"/>
          <w:szCs w:val="22"/>
        </w:rPr>
        <w:t xml:space="preserve">, o responsável pela confecção do edital tem o dever de examinar o caso concreto e definir o que será necessário para aferir a capacidade econômico-financeira dos licitantes, estipulando quais os documentos a exigir, </w:t>
      </w:r>
      <w:r w:rsidRPr="005D6BC3">
        <w:rPr>
          <w:rFonts w:ascii="Times New Roman" w:hAnsi="Times New Roman" w:cs="Times New Roman"/>
          <w:sz w:val="22"/>
          <w:szCs w:val="22"/>
        </w:rPr>
        <w:lastRenderedPageBreak/>
        <w:t>respeitados os limites máximos admitidos pela Lei</w:t>
      </w:r>
      <w:r w:rsidRPr="001F6214">
        <w:rPr>
          <w:rFonts w:ascii="Times New Roman" w:hAnsi="Times New Roman" w:cs="Times New Roman"/>
          <w:sz w:val="22"/>
          <w:szCs w:val="22"/>
        </w:rPr>
        <w:t>.</w:t>
      </w:r>
      <w:r w:rsidR="005D6BC3" w:rsidRPr="005D6BC3">
        <w:rPr>
          <w:rStyle w:val="Refdenotaderodap"/>
          <w:rFonts w:ascii="Times New Roman" w:hAnsi="Times New Roman" w:cs="Times New Roman"/>
          <w:sz w:val="22"/>
          <w:szCs w:val="22"/>
        </w:rPr>
        <w:t xml:space="preserve"> </w:t>
      </w:r>
      <w:r w:rsidR="005D6BC3" w:rsidRPr="001F6214">
        <w:rPr>
          <w:rStyle w:val="Refdenotaderodap"/>
          <w:rFonts w:ascii="Times New Roman" w:hAnsi="Times New Roman" w:cs="Times New Roman"/>
          <w:sz w:val="22"/>
          <w:szCs w:val="22"/>
        </w:rPr>
        <w:footnoteReference w:id="13"/>
      </w:r>
      <w:r w:rsidRPr="001F6214">
        <w:rPr>
          <w:rFonts w:ascii="Times New Roman" w:hAnsi="Times New Roman" w:cs="Times New Roman"/>
          <w:sz w:val="22"/>
          <w:szCs w:val="22"/>
        </w:rPr>
        <w:t xml:space="preserve"> </w:t>
      </w:r>
    </w:p>
    <w:p w14:paraId="552F395C" w14:textId="77777777" w:rsidR="00B30452" w:rsidRPr="00B30452" w:rsidRDefault="00B30452" w:rsidP="00B30452">
      <w:pPr>
        <w:pStyle w:val="PargrafodaLista"/>
        <w:widowControl w:val="0"/>
        <w:tabs>
          <w:tab w:val="left" w:pos="1701"/>
        </w:tabs>
        <w:kinsoku w:val="0"/>
        <w:overflowPunct w:val="0"/>
        <w:autoSpaceDE w:val="0"/>
        <w:autoSpaceDN w:val="0"/>
        <w:adjustRightInd w:val="0"/>
        <w:spacing w:before="120" w:after="120"/>
        <w:ind w:left="1418" w:right="110"/>
        <w:jc w:val="both"/>
        <w:rPr>
          <w:rFonts w:ascii="Times New Roman" w:hAnsi="Times New Roman" w:cs="Times New Roman"/>
          <w:sz w:val="22"/>
          <w:szCs w:val="22"/>
        </w:rPr>
      </w:pPr>
    </w:p>
    <w:p w14:paraId="17F5768C" w14:textId="5BE26E0A" w:rsidR="000E4D0F" w:rsidRDefault="00105665" w:rsidP="00C91FAC">
      <w:pPr>
        <w:spacing w:line="360" w:lineRule="auto"/>
        <w:ind w:firstLine="1134"/>
        <w:jc w:val="both"/>
        <w:rPr>
          <w:rFonts w:ascii="Times New Roman" w:hAnsi="Times New Roman" w:cs="Times New Roman"/>
        </w:rPr>
      </w:pPr>
      <w:r>
        <w:rPr>
          <w:rFonts w:ascii="Times New Roman" w:hAnsi="Times New Roman" w:cs="Times New Roman"/>
        </w:rPr>
        <w:t xml:space="preserve">Ademais, é sempre importante mencionar que a própria Constituição da República estabelece, em seu art. </w:t>
      </w:r>
      <w:r w:rsidR="006D1449" w:rsidRPr="00EB7CF1">
        <w:rPr>
          <w:rFonts w:ascii="Times New Roman" w:hAnsi="Times New Roman" w:cs="Times New Roman"/>
        </w:rPr>
        <w:t xml:space="preserve">37, inciso XXI, que </w:t>
      </w:r>
      <w:r w:rsidR="006653E0" w:rsidRPr="00EB7CF1">
        <w:rPr>
          <w:rFonts w:ascii="Times New Roman" w:hAnsi="Times New Roman" w:cs="Times New Roman"/>
        </w:rPr>
        <w:t>o processo de licitação pública</w:t>
      </w:r>
      <w:r w:rsidR="00EB7CF1" w:rsidRPr="00EB7CF1">
        <w:rPr>
          <w:rFonts w:ascii="Times New Roman" w:hAnsi="Times New Roman" w:cs="Times New Roman"/>
        </w:rPr>
        <w:t xml:space="preserve"> “somente permitirá as exigências de qualificação técnica e econômica indispensáveis à garantia do cumprimento das obrigações”.</w:t>
      </w:r>
    </w:p>
    <w:p w14:paraId="65EAD5BA" w14:textId="4EA75B5E" w:rsidR="00D346EB" w:rsidRPr="00C91FAC" w:rsidRDefault="00D346EB" w:rsidP="00C91FAC">
      <w:pPr>
        <w:spacing w:line="360" w:lineRule="auto"/>
        <w:ind w:firstLine="1134"/>
        <w:jc w:val="both"/>
        <w:rPr>
          <w:rFonts w:ascii="Times New Roman" w:hAnsi="Times New Roman" w:cs="Times New Roman"/>
        </w:rPr>
      </w:pPr>
      <w:r>
        <w:rPr>
          <w:rFonts w:ascii="Times New Roman" w:hAnsi="Times New Roman" w:cs="Times New Roman"/>
        </w:rPr>
        <w:t xml:space="preserve">Por serem documentos cuja exigência decorre da análise da conveniência e oportunidade </w:t>
      </w:r>
      <w:r w:rsidR="00B30452">
        <w:rPr>
          <w:rFonts w:ascii="Times New Roman" w:hAnsi="Times New Roman" w:cs="Times New Roman"/>
        </w:rPr>
        <w:t xml:space="preserve">aferida </w:t>
      </w:r>
      <w:r>
        <w:rPr>
          <w:rFonts w:ascii="Times New Roman" w:hAnsi="Times New Roman" w:cs="Times New Roman"/>
        </w:rPr>
        <w:t xml:space="preserve">pelo administrador público, deverá constar </w:t>
      </w:r>
      <w:r w:rsidR="00B30452">
        <w:rPr>
          <w:rFonts w:ascii="Times New Roman" w:hAnsi="Times New Roman" w:cs="Times New Roman"/>
        </w:rPr>
        <w:t xml:space="preserve">no ETP ou em outro documento hábil </w:t>
      </w:r>
      <w:r>
        <w:rPr>
          <w:rFonts w:ascii="Times New Roman" w:hAnsi="Times New Roman" w:cs="Times New Roman"/>
        </w:rPr>
        <w:t xml:space="preserve">a devida justificativa. Isso porque, se é competência </w:t>
      </w:r>
      <w:proofErr w:type="gramStart"/>
      <w:r w:rsidR="000E4D0F">
        <w:rPr>
          <w:rFonts w:ascii="Times New Roman" w:hAnsi="Times New Roman" w:cs="Times New Roman"/>
        </w:rPr>
        <w:t>d</w:t>
      </w:r>
      <w:r w:rsidR="00B30452">
        <w:rPr>
          <w:rFonts w:ascii="Times New Roman" w:hAnsi="Times New Roman" w:cs="Times New Roman"/>
        </w:rPr>
        <w:t>o</w:t>
      </w:r>
      <w:proofErr w:type="gramEnd"/>
      <w:r>
        <w:rPr>
          <w:rFonts w:ascii="Times New Roman" w:hAnsi="Times New Roman" w:cs="Times New Roman"/>
        </w:rPr>
        <w:t xml:space="preserve"> administrador realizar </w:t>
      </w:r>
      <w:r w:rsidR="00B30452">
        <w:rPr>
          <w:rFonts w:ascii="Times New Roman" w:hAnsi="Times New Roman" w:cs="Times New Roman"/>
        </w:rPr>
        <w:t>a</w:t>
      </w:r>
      <w:r>
        <w:rPr>
          <w:rFonts w:ascii="Times New Roman" w:hAnsi="Times New Roman" w:cs="Times New Roman"/>
        </w:rPr>
        <w:t xml:space="preserve"> análise do mérito administrativo, esta vem acompanhada </w:t>
      </w:r>
      <w:r w:rsidR="00B30452">
        <w:rPr>
          <w:rFonts w:ascii="Times New Roman" w:hAnsi="Times New Roman" w:cs="Times New Roman"/>
        </w:rPr>
        <w:t>d</w:t>
      </w:r>
      <w:r>
        <w:rPr>
          <w:rFonts w:ascii="Times New Roman" w:hAnsi="Times New Roman" w:cs="Times New Roman"/>
        </w:rPr>
        <w:t>o ônus da fundamentação, a fim de se verificar que a restrição está realmente calcada no interesse público, e se há razoabilidade</w:t>
      </w:r>
      <w:r w:rsidR="00D2667F">
        <w:rPr>
          <w:rFonts w:ascii="Times New Roman" w:hAnsi="Times New Roman" w:cs="Times New Roman"/>
        </w:rPr>
        <w:t xml:space="preserve"> na sua exigência</w:t>
      </w:r>
      <w:r>
        <w:rPr>
          <w:rFonts w:ascii="Times New Roman" w:hAnsi="Times New Roman" w:cs="Times New Roman"/>
        </w:rPr>
        <w:t>.</w:t>
      </w:r>
    </w:p>
    <w:p w14:paraId="7F8BF6DC" w14:textId="77777777" w:rsidR="00A64F36" w:rsidRDefault="00A64F36" w:rsidP="00E4583F">
      <w:pPr>
        <w:spacing w:line="360" w:lineRule="auto"/>
        <w:ind w:firstLine="1134"/>
        <w:jc w:val="both"/>
        <w:rPr>
          <w:rFonts w:ascii="Times New Roman" w:hAnsi="Times New Roman" w:cs="Times New Roman"/>
        </w:rPr>
      </w:pPr>
    </w:p>
    <w:p w14:paraId="57D3E55F" w14:textId="6E9345CC" w:rsidR="001F6214" w:rsidRPr="00017092" w:rsidRDefault="00017092" w:rsidP="00017092">
      <w:pPr>
        <w:spacing w:line="360" w:lineRule="auto"/>
        <w:ind w:firstLine="1134"/>
        <w:jc w:val="both"/>
        <w:rPr>
          <w:rFonts w:ascii="Times New Roman" w:hAnsi="Times New Roman" w:cs="Times New Roman"/>
          <w:b/>
          <w:bCs/>
        </w:rPr>
      </w:pPr>
      <w:r w:rsidRPr="00017092">
        <w:rPr>
          <w:rFonts w:ascii="Times New Roman" w:hAnsi="Times New Roman" w:cs="Times New Roman"/>
          <w:b/>
          <w:bCs/>
        </w:rPr>
        <w:t>Documentos obrigatórios</w:t>
      </w:r>
      <w:r w:rsidR="00C16C10">
        <w:rPr>
          <w:rFonts w:ascii="Times New Roman" w:hAnsi="Times New Roman" w:cs="Times New Roman"/>
          <w:b/>
          <w:bCs/>
        </w:rPr>
        <w:t xml:space="preserve"> e não </w:t>
      </w:r>
      <w:r w:rsidR="00C16C10" w:rsidRPr="00017092">
        <w:rPr>
          <w:rFonts w:ascii="Times New Roman" w:hAnsi="Times New Roman" w:cs="Times New Roman"/>
          <w:b/>
          <w:bCs/>
        </w:rPr>
        <w:t>obrigatórios</w:t>
      </w:r>
    </w:p>
    <w:p w14:paraId="3E368547" w14:textId="332A9C32" w:rsidR="00017092" w:rsidRDefault="00017092" w:rsidP="00C16C10">
      <w:pPr>
        <w:spacing w:line="360" w:lineRule="auto"/>
        <w:ind w:firstLine="1134"/>
        <w:jc w:val="both"/>
        <w:rPr>
          <w:rFonts w:ascii="Times New Roman" w:hAnsi="Times New Roman" w:cs="Times New Roman"/>
        </w:rPr>
      </w:pPr>
      <w:r>
        <w:rPr>
          <w:rFonts w:ascii="Times New Roman" w:hAnsi="Times New Roman" w:cs="Times New Roman"/>
        </w:rPr>
        <w:t xml:space="preserve">Por todo o exposto, </w:t>
      </w:r>
      <w:r w:rsidR="00B30452">
        <w:rPr>
          <w:rFonts w:ascii="Times New Roman" w:hAnsi="Times New Roman" w:cs="Times New Roman"/>
        </w:rPr>
        <w:t xml:space="preserve">entendemos que, </w:t>
      </w:r>
      <w:r>
        <w:rPr>
          <w:rFonts w:ascii="Times New Roman" w:hAnsi="Times New Roman" w:cs="Times New Roman"/>
        </w:rPr>
        <w:t xml:space="preserve">salvo </w:t>
      </w:r>
      <w:r w:rsidR="00B30452">
        <w:rPr>
          <w:rFonts w:ascii="Times New Roman" w:hAnsi="Times New Roman" w:cs="Times New Roman"/>
        </w:rPr>
        <w:t xml:space="preserve">em </w:t>
      </w:r>
      <w:r>
        <w:rPr>
          <w:rFonts w:ascii="Times New Roman" w:hAnsi="Times New Roman" w:cs="Times New Roman"/>
        </w:rPr>
        <w:t>circunstâncias excecionalíssimas,</w:t>
      </w:r>
      <w:r w:rsidRPr="00017092">
        <w:rPr>
          <w:rFonts w:ascii="Times New Roman" w:hAnsi="Times New Roman" w:cs="Times New Roman"/>
        </w:rPr>
        <w:t xml:space="preserve"> </w:t>
      </w:r>
      <w:r w:rsidRPr="00C16C10">
        <w:rPr>
          <w:rFonts w:ascii="Times New Roman" w:hAnsi="Times New Roman" w:cs="Times New Roman"/>
        </w:rPr>
        <w:t xml:space="preserve">devem obrigatoriamente constar </w:t>
      </w:r>
      <w:r w:rsidR="008F55FA">
        <w:rPr>
          <w:rFonts w:ascii="Times New Roman" w:hAnsi="Times New Roman" w:cs="Times New Roman"/>
        </w:rPr>
        <w:t>como documentos de habilitação</w:t>
      </w:r>
      <w:r w:rsidR="008F55FA" w:rsidRPr="00C16C10">
        <w:rPr>
          <w:rFonts w:ascii="Times New Roman" w:hAnsi="Times New Roman" w:cs="Times New Roman"/>
        </w:rPr>
        <w:t xml:space="preserve"> </w:t>
      </w:r>
      <w:r w:rsidRPr="00C16C10">
        <w:rPr>
          <w:rFonts w:ascii="Times New Roman" w:hAnsi="Times New Roman" w:cs="Times New Roman"/>
        </w:rPr>
        <w:t xml:space="preserve">em todas as contratações, em razão da </w:t>
      </w:r>
      <w:r w:rsidR="00D74FFE">
        <w:rPr>
          <w:rFonts w:ascii="Times New Roman" w:hAnsi="Times New Roman" w:cs="Times New Roman"/>
        </w:rPr>
        <w:t xml:space="preserve">necessidade de comprovação de </w:t>
      </w:r>
      <w:r w:rsidR="00D74FFE" w:rsidRPr="007E518D">
        <w:rPr>
          <w:rFonts w:ascii="Times New Roman" w:hAnsi="Times New Roman" w:cs="Times New Roman"/>
        </w:rPr>
        <w:t xml:space="preserve">capacidade e legitimidade </w:t>
      </w:r>
      <w:r w:rsidR="00D74FFE">
        <w:rPr>
          <w:rFonts w:ascii="Times New Roman" w:hAnsi="Times New Roman" w:cs="Times New Roman"/>
        </w:rPr>
        <w:t>civil</w:t>
      </w:r>
      <w:r w:rsidR="00C16C10">
        <w:rPr>
          <w:rFonts w:ascii="Times New Roman" w:hAnsi="Times New Roman" w:cs="Times New Roman"/>
        </w:rPr>
        <w:t>,</w:t>
      </w:r>
      <w:r w:rsidRPr="00C16C10">
        <w:rPr>
          <w:rFonts w:ascii="Times New Roman" w:hAnsi="Times New Roman" w:cs="Times New Roman"/>
        </w:rPr>
        <w:t xml:space="preserve"> a documentação de habilitação jurídica, conforme art. 66 da Lei 14.133/2021</w:t>
      </w:r>
      <w:r w:rsidR="00C16C10">
        <w:rPr>
          <w:rFonts w:ascii="Times New Roman" w:hAnsi="Times New Roman" w:cs="Times New Roman"/>
        </w:rPr>
        <w:t>.</w:t>
      </w:r>
    </w:p>
    <w:p w14:paraId="021BEDEE" w14:textId="77777777" w:rsidR="00C16C10" w:rsidRDefault="00C16C10" w:rsidP="00C16C10">
      <w:pPr>
        <w:spacing w:line="360" w:lineRule="auto"/>
        <w:ind w:firstLine="1134"/>
        <w:jc w:val="both"/>
        <w:rPr>
          <w:rFonts w:ascii="Times New Roman" w:hAnsi="Times New Roman" w:cs="Times New Roman"/>
        </w:rPr>
      </w:pPr>
      <w:r>
        <w:rPr>
          <w:rFonts w:ascii="Times New Roman" w:hAnsi="Times New Roman" w:cs="Times New Roman"/>
        </w:rPr>
        <w:t xml:space="preserve">Noutro giro, sempre ressalvando situações excecionalíssimas, </w:t>
      </w:r>
      <w:r w:rsidR="00017092" w:rsidRPr="00C16C10">
        <w:rPr>
          <w:rFonts w:ascii="Times New Roman" w:hAnsi="Times New Roman" w:cs="Times New Roman"/>
        </w:rPr>
        <w:t>devem obrigatoriamente constar em todas as contratações, salvo quando dispensados nas hipóteses do art. 70, inciso III, da Lei 14.133/2021, em razão de implemento de política pública</w:t>
      </w:r>
      <w:r>
        <w:rPr>
          <w:rFonts w:ascii="Times New Roman" w:hAnsi="Times New Roman" w:cs="Times New Roman"/>
        </w:rPr>
        <w:t>, a</w:t>
      </w:r>
      <w:r w:rsidRPr="00C16C10">
        <w:rPr>
          <w:rFonts w:ascii="Times New Roman" w:hAnsi="Times New Roman" w:cs="Times New Roman"/>
        </w:rPr>
        <w:t>s habilitações fiscal, social e trabalhista</w:t>
      </w:r>
      <w:r w:rsidR="00017092" w:rsidRPr="00C16C10">
        <w:rPr>
          <w:rFonts w:ascii="Times New Roman" w:hAnsi="Times New Roman" w:cs="Times New Roman"/>
        </w:rPr>
        <w:t xml:space="preserve">, nos termos </w:t>
      </w:r>
      <w:r w:rsidR="00F943DD" w:rsidRPr="00C16C10">
        <w:rPr>
          <w:rFonts w:ascii="Times New Roman" w:hAnsi="Times New Roman" w:cs="Times New Roman"/>
        </w:rPr>
        <w:t>do</w:t>
      </w:r>
      <w:r w:rsidR="00017092" w:rsidRPr="00C16C10">
        <w:rPr>
          <w:rFonts w:ascii="Times New Roman" w:hAnsi="Times New Roman" w:cs="Times New Roman"/>
        </w:rPr>
        <w:t xml:space="preserve"> art. 6</w:t>
      </w:r>
      <w:r w:rsidR="00F943DD" w:rsidRPr="00C16C10">
        <w:rPr>
          <w:rFonts w:ascii="Times New Roman" w:hAnsi="Times New Roman" w:cs="Times New Roman"/>
        </w:rPr>
        <w:t>8 da Lei 14.133/2021</w:t>
      </w:r>
      <w:r>
        <w:rPr>
          <w:rFonts w:ascii="Times New Roman" w:hAnsi="Times New Roman" w:cs="Times New Roman"/>
        </w:rPr>
        <w:t>.</w:t>
      </w:r>
    </w:p>
    <w:p w14:paraId="35A5CAA6" w14:textId="77777777" w:rsidR="00C16C10" w:rsidRDefault="00C16C10" w:rsidP="00C16C10">
      <w:pPr>
        <w:spacing w:line="360" w:lineRule="auto"/>
        <w:ind w:firstLine="1134"/>
        <w:jc w:val="both"/>
        <w:rPr>
          <w:rFonts w:ascii="Times New Roman" w:hAnsi="Times New Roman" w:cs="Times New Roman"/>
        </w:rPr>
      </w:pPr>
      <w:r>
        <w:rPr>
          <w:rFonts w:ascii="Times New Roman" w:hAnsi="Times New Roman" w:cs="Times New Roman"/>
        </w:rPr>
        <w:t xml:space="preserve">Por seu turno, </w:t>
      </w:r>
      <w:r w:rsidR="00F943DD" w:rsidRPr="00C16C10">
        <w:rPr>
          <w:rFonts w:ascii="Times New Roman" w:hAnsi="Times New Roman" w:cs="Times New Roman"/>
        </w:rPr>
        <w:t>devem obrigatoriamente constar nas contratações cuja legislação de regência do objeto a ser contratado assim determine, em razão de exigência do poder de polícia administrativa: os documentos de habilitação técnica cuja obrigatoriedade decorra da legislação, e que sejam igualmente exigíveis quando aquele objeto é prestado no âmbito das relações privadas</w:t>
      </w:r>
      <w:r>
        <w:rPr>
          <w:rFonts w:ascii="Times New Roman" w:hAnsi="Times New Roman" w:cs="Times New Roman"/>
        </w:rPr>
        <w:t>.</w:t>
      </w:r>
    </w:p>
    <w:p w14:paraId="78C8DF56" w14:textId="6F741D9D" w:rsidR="0076092F" w:rsidRDefault="00C16C10" w:rsidP="00C16C10">
      <w:pPr>
        <w:spacing w:line="360" w:lineRule="auto"/>
        <w:ind w:firstLine="1134"/>
        <w:jc w:val="both"/>
        <w:rPr>
          <w:rFonts w:ascii="Times New Roman" w:hAnsi="Times New Roman" w:cs="Times New Roman"/>
        </w:rPr>
      </w:pPr>
      <w:r>
        <w:rPr>
          <w:rFonts w:ascii="Times New Roman" w:hAnsi="Times New Roman" w:cs="Times New Roman"/>
        </w:rPr>
        <w:t xml:space="preserve">Por fim, </w:t>
      </w:r>
      <w:r w:rsidR="00F943DD" w:rsidRPr="00C16C10">
        <w:rPr>
          <w:rFonts w:ascii="Times New Roman" w:hAnsi="Times New Roman" w:cs="Times New Roman"/>
        </w:rPr>
        <w:t xml:space="preserve">podem ou não ser exigidos, segundo análise de conveniência e oportunidade do administrador público, obviamente sob o prisma do interesse público </w:t>
      </w:r>
      <w:r w:rsidR="00F943DD" w:rsidRPr="00C16C10">
        <w:rPr>
          <w:rFonts w:ascii="Times New Roman" w:hAnsi="Times New Roman" w:cs="Times New Roman"/>
        </w:rPr>
        <w:lastRenderedPageBreak/>
        <w:t>(todo ato discricionário tem elemento “motivo” vinculado)</w:t>
      </w:r>
      <w:r w:rsidRPr="00C16C10">
        <w:rPr>
          <w:rFonts w:ascii="Times New Roman" w:hAnsi="Times New Roman" w:cs="Times New Roman"/>
        </w:rPr>
        <w:t>, por razoável impacto teórico sobre a execução do objeto:</w:t>
      </w:r>
      <w:r>
        <w:rPr>
          <w:rFonts w:ascii="Times New Roman" w:hAnsi="Times New Roman" w:cs="Times New Roman"/>
        </w:rPr>
        <w:t xml:space="preserve"> </w:t>
      </w:r>
      <w:r w:rsidRPr="00C16C10">
        <w:rPr>
          <w:rFonts w:ascii="Times New Roman" w:hAnsi="Times New Roman" w:cs="Times New Roman"/>
        </w:rPr>
        <w:t>os documentos de habilitação técnica que não decorram de obrigatoriedade da legislação, ou seja, que não sejam exigidos em função do poder de polícia administrativa;</w:t>
      </w:r>
      <w:r>
        <w:rPr>
          <w:rFonts w:ascii="Times New Roman" w:hAnsi="Times New Roman" w:cs="Times New Roman"/>
        </w:rPr>
        <w:t xml:space="preserve"> e</w:t>
      </w:r>
      <w:r w:rsidRPr="00C16C10">
        <w:rPr>
          <w:rFonts w:ascii="Times New Roman" w:hAnsi="Times New Roman" w:cs="Times New Roman"/>
        </w:rPr>
        <w:t xml:space="preserve"> os documentos de habilitação econômic</w:t>
      </w:r>
      <w:r>
        <w:rPr>
          <w:rFonts w:ascii="Times New Roman" w:hAnsi="Times New Roman" w:cs="Times New Roman"/>
        </w:rPr>
        <w:t>o</w:t>
      </w:r>
      <w:r w:rsidRPr="00C16C10">
        <w:rPr>
          <w:rFonts w:ascii="Times New Roman" w:hAnsi="Times New Roman" w:cs="Times New Roman"/>
        </w:rPr>
        <w:t>-financeira.</w:t>
      </w:r>
    </w:p>
    <w:p w14:paraId="60D8435B" w14:textId="77777777" w:rsidR="007E518D" w:rsidRDefault="007E518D" w:rsidP="007E518D">
      <w:pPr>
        <w:spacing w:line="360" w:lineRule="auto"/>
        <w:jc w:val="both"/>
        <w:rPr>
          <w:rFonts w:ascii="Times New Roman" w:hAnsi="Times New Roman" w:cs="Times New Roman"/>
        </w:rPr>
      </w:pPr>
    </w:p>
    <w:p w14:paraId="131AE8FD" w14:textId="77777777" w:rsidR="007E518D" w:rsidRDefault="007E518D" w:rsidP="00C16C10">
      <w:pPr>
        <w:spacing w:line="360" w:lineRule="auto"/>
        <w:ind w:firstLine="1134"/>
        <w:jc w:val="both"/>
        <w:rPr>
          <w:rFonts w:ascii="Times New Roman" w:hAnsi="Times New Roman" w:cs="Times New Roman"/>
        </w:rPr>
      </w:pPr>
    </w:p>
    <w:p w14:paraId="750C9A72" w14:textId="759876FC" w:rsidR="007E518D" w:rsidRPr="007E518D" w:rsidRDefault="007E518D" w:rsidP="007E518D">
      <w:pPr>
        <w:spacing w:line="360" w:lineRule="auto"/>
        <w:jc w:val="center"/>
        <w:rPr>
          <w:rFonts w:ascii="Times New Roman" w:hAnsi="Times New Roman" w:cs="Times New Roman"/>
          <w:b/>
          <w:bCs/>
        </w:rPr>
      </w:pPr>
      <w:r w:rsidRPr="007E518D">
        <w:rPr>
          <w:rFonts w:ascii="Times New Roman" w:hAnsi="Times New Roman" w:cs="Times New Roman"/>
          <w:b/>
          <w:bCs/>
        </w:rPr>
        <w:t>REFERÊNCIAS</w:t>
      </w:r>
    </w:p>
    <w:p w14:paraId="03DBABC6" w14:textId="77777777" w:rsidR="007E518D" w:rsidRDefault="007E518D" w:rsidP="00C16C10">
      <w:pPr>
        <w:spacing w:line="360" w:lineRule="auto"/>
        <w:ind w:firstLine="1134"/>
        <w:jc w:val="both"/>
        <w:rPr>
          <w:rFonts w:ascii="Times New Roman" w:hAnsi="Times New Roman" w:cs="Times New Roman"/>
        </w:rPr>
      </w:pPr>
    </w:p>
    <w:p w14:paraId="53CB71BF" w14:textId="6BC13096" w:rsidR="007E518D" w:rsidRPr="007E518D" w:rsidRDefault="007E518D" w:rsidP="007E518D">
      <w:pPr>
        <w:pStyle w:val="Textodenotaderodap"/>
        <w:spacing w:after="240" w:line="360" w:lineRule="auto"/>
        <w:rPr>
          <w:sz w:val="24"/>
          <w:szCs w:val="24"/>
        </w:rPr>
      </w:pPr>
      <w:r w:rsidRPr="007E518D">
        <w:rPr>
          <w:sz w:val="24"/>
          <w:szCs w:val="24"/>
        </w:rPr>
        <w:t xml:space="preserve">ALCÂNTARA, Marcus. TORRES, Ronny Charles Lopes de. </w:t>
      </w:r>
      <w:r w:rsidRPr="007E518D">
        <w:rPr>
          <w:b/>
          <w:bCs/>
          <w:sz w:val="24"/>
          <w:szCs w:val="24"/>
        </w:rPr>
        <w:t>Lei n. 14.133/2021 e a exigência de balanço patrimonial dos 2 (dois) últimos exercícios sociais: uma análise crítica</w:t>
      </w:r>
      <w:r w:rsidRPr="007E518D">
        <w:rPr>
          <w:sz w:val="24"/>
          <w:szCs w:val="24"/>
        </w:rPr>
        <w:t xml:space="preserve">. Disponível em: &lt; https://ronnycharles.com.br/wp-content/uploads/2024/08/Artigo-Final-A-exigencia-do-balanco-patrimonial-dos-ultimos-dois-anos-4.pdf&gt;. Acesso em: 30 </w:t>
      </w:r>
      <w:proofErr w:type="spellStart"/>
      <w:r w:rsidRPr="007E518D">
        <w:rPr>
          <w:sz w:val="24"/>
          <w:szCs w:val="24"/>
        </w:rPr>
        <w:t>jul</w:t>
      </w:r>
      <w:proofErr w:type="spellEnd"/>
      <w:r w:rsidRPr="007E518D">
        <w:rPr>
          <w:sz w:val="24"/>
          <w:szCs w:val="24"/>
        </w:rPr>
        <w:t xml:space="preserve"> 2025.</w:t>
      </w:r>
    </w:p>
    <w:p w14:paraId="6D978383" w14:textId="003030C4" w:rsidR="007E518D" w:rsidRPr="007E518D" w:rsidRDefault="007E518D" w:rsidP="007E518D">
      <w:pPr>
        <w:pStyle w:val="Textodenotaderodap"/>
        <w:spacing w:after="240" w:line="360" w:lineRule="auto"/>
        <w:rPr>
          <w:color w:val="000000"/>
          <w:sz w:val="24"/>
          <w:szCs w:val="24"/>
        </w:rPr>
      </w:pPr>
      <w:r w:rsidRPr="007E518D">
        <w:rPr>
          <w:color w:val="000000"/>
          <w:sz w:val="24"/>
          <w:szCs w:val="24"/>
        </w:rPr>
        <w:t>BARBOSA, Jandeson da Costa. </w:t>
      </w:r>
      <w:r w:rsidRPr="007E518D">
        <w:rPr>
          <w:b/>
          <w:bCs/>
          <w:color w:val="000000"/>
          <w:sz w:val="24"/>
          <w:szCs w:val="24"/>
        </w:rPr>
        <w:t>O interesse público constitucional numa formulação à luz de pressupostos teóricos, contextos e fatos no âmbito dos direitos fundamentais</w:t>
      </w:r>
      <w:r w:rsidRPr="007E518D">
        <w:rPr>
          <w:color w:val="000000"/>
          <w:sz w:val="24"/>
          <w:szCs w:val="24"/>
        </w:rPr>
        <w:t>. Porto Alegre: Livraria do Advogado, 2022.</w:t>
      </w:r>
    </w:p>
    <w:p w14:paraId="3FA1C815" w14:textId="20650E24" w:rsidR="007E518D" w:rsidRPr="007E518D" w:rsidRDefault="007E518D" w:rsidP="007E518D">
      <w:pPr>
        <w:pStyle w:val="Textodenotaderodap"/>
        <w:spacing w:after="240" w:line="360" w:lineRule="auto"/>
        <w:rPr>
          <w:sz w:val="24"/>
          <w:szCs w:val="24"/>
        </w:rPr>
      </w:pPr>
      <w:r w:rsidRPr="007E518D">
        <w:rPr>
          <w:color w:val="000000"/>
          <w:sz w:val="24"/>
          <w:szCs w:val="24"/>
        </w:rPr>
        <w:t>________________</w:t>
      </w:r>
      <w:r w:rsidRPr="007E518D">
        <w:rPr>
          <w:color w:val="000000"/>
          <w:sz w:val="24"/>
          <w:szCs w:val="24"/>
        </w:rPr>
        <w:t>. </w:t>
      </w:r>
      <w:r w:rsidRPr="007E518D">
        <w:rPr>
          <w:b/>
          <w:bCs/>
          <w:sz w:val="24"/>
          <w:szCs w:val="24"/>
        </w:rPr>
        <w:t>A validade da prorrogação do contrato ocorre na data da assinatura</w:t>
      </w:r>
      <w:r w:rsidRPr="007E518D">
        <w:rPr>
          <w:sz w:val="24"/>
          <w:szCs w:val="24"/>
        </w:rPr>
        <w:t xml:space="preserve">. Acesso em: &lt;https://virtugestaopublica.com.br/a-validade-da-prorrogacao-do-contrato-ocorre-na-data-da-assinatura&gt;. Acesso em: 05 </w:t>
      </w:r>
      <w:proofErr w:type="spellStart"/>
      <w:r w:rsidRPr="007E518D">
        <w:rPr>
          <w:sz w:val="24"/>
          <w:szCs w:val="24"/>
        </w:rPr>
        <w:t>ago</w:t>
      </w:r>
      <w:proofErr w:type="spellEnd"/>
      <w:r w:rsidRPr="007E518D">
        <w:rPr>
          <w:sz w:val="24"/>
          <w:szCs w:val="24"/>
        </w:rPr>
        <w:t xml:space="preserve"> 2025.</w:t>
      </w:r>
    </w:p>
    <w:p w14:paraId="544AABFE" w14:textId="17D1ED52" w:rsidR="007E518D" w:rsidRPr="007E518D" w:rsidRDefault="007E518D" w:rsidP="007E518D">
      <w:pPr>
        <w:pStyle w:val="Textodenotaderodap"/>
        <w:spacing w:after="240" w:line="360" w:lineRule="auto"/>
        <w:rPr>
          <w:sz w:val="24"/>
          <w:szCs w:val="24"/>
        </w:rPr>
      </w:pPr>
      <w:r w:rsidRPr="007E518D">
        <w:rPr>
          <w:color w:val="000000"/>
          <w:sz w:val="24"/>
          <w:szCs w:val="24"/>
        </w:rPr>
        <w:t>________________. </w:t>
      </w:r>
      <w:r w:rsidRPr="007E518D">
        <w:rPr>
          <w:b/>
          <w:bCs/>
          <w:color w:val="000000"/>
          <w:sz w:val="24"/>
          <w:szCs w:val="24"/>
        </w:rPr>
        <w:t>Como instruir uma dispensa de licitação em razão do valor em menos de uma hora</w:t>
      </w:r>
      <w:r w:rsidRPr="007E518D">
        <w:rPr>
          <w:color w:val="000000"/>
          <w:sz w:val="24"/>
          <w:szCs w:val="24"/>
        </w:rPr>
        <w:t>. Disponível em: &lt;</w:t>
      </w:r>
      <w:r w:rsidRPr="007E518D">
        <w:rPr>
          <w:sz w:val="24"/>
          <w:szCs w:val="24"/>
        </w:rPr>
        <w:t xml:space="preserve"> </w:t>
      </w:r>
      <w:r w:rsidRPr="007E518D">
        <w:rPr>
          <w:color w:val="000000"/>
          <w:sz w:val="24"/>
          <w:szCs w:val="24"/>
        </w:rPr>
        <w:t xml:space="preserve">https://virtugestaopublica.com.br/como-instruir-uma-dispensa-de-licitacao-em-razao-do-valor-em-menos-de-uma-hora&gt;. Acesso em: 05 </w:t>
      </w:r>
      <w:proofErr w:type="spellStart"/>
      <w:r w:rsidRPr="007E518D">
        <w:rPr>
          <w:color w:val="000000"/>
          <w:sz w:val="24"/>
          <w:szCs w:val="24"/>
        </w:rPr>
        <w:t>ago</w:t>
      </w:r>
      <w:proofErr w:type="spellEnd"/>
      <w:r w:rsidRPr="007E518D">
        <w:rPr>
          <w:color w:val="000000"/>
          <w:sz w:val="24"/>
          <w:szCs w:val="24"/>
        </w:rPr>
        <w:t xml:space="preserve"> 2025.</w:t>
      </w:r>
    </w:p>
    <w:p w14:paraId="5366F028" w14:textId="78DB9BBF" w:rsidR="007E518D" w:rsidRPr="007E518D" w:rsidRDefault="007E518D" w:rsidP="007E518D">
      <w:pPr>
        <w:pStyle w:val="Textodenotaderodap"/>
        <w:spacing w:after="240" w:line="360" w:lineRule="auto"/>
        <w:rPr>
          <w:sz w:val="24"/>
          <w:szCs w:val="24"/>
        </w:rPr>
      </w:pPr>
      <w:r w:rsidRPr="007E518D">
        <w:rPr>
          <w:color w:val="1D1E20"/>
          <w:sz w:val="24"/>
          <w:szCs w:val="24"/>
        </w:rPr>
        <w:t xml:space="preserve">DI </w:t>
      </w:r>
      <w:r w:rsidRPr="007E518D">
        <w:rPr>
          <w:color w:val="000000"/>
          <w:sz w:val="24"/>
          <w:szCs w:val="24"/>
        </w:rPr>
        <w:t>PIETRO</w:t>
      </w:r>
      <w:r w:rsidRPr="007E518D">
        <w:rPr>
          <w:color w:val="1D1E20"/>
          <w:sz w:val="24"/>
          <w:szCs w:val="24"/>
        </w:rPr>
        <w:t>, Maria Sylvia Zanella. </w:t>
      </w:r>
      <w:r w:rsidRPr="007E518D">
        <w:rPr>
          <w:rStyle w:val="Forte"/>
          <w:rFonts w:eastAsiaTheme="majorEastAsia"/>
          <w:color w:val="1D1E20"/>
          <w:sz w:val="24"/>
          <w:szCs w:val="24"/>
        </w:rPr>
        <w:t>Direito Administrativo</w:t>
      </w:r>
      <w:r w:rsidRPr="007E518D">
        <w:rPr>
          <w:color w:val="1D1E20"/>
          <w:sz w:val="24"/>
          <w:szCs w:val="24"/>
        </w:rPr>
        <w:t>. Rio de Janeiro: Forense, 37. ed</w:t>
      </w:r>
      <w:r w:rsidRPr="007E518D">
        <w:rPr>
          <w:sz w:val="24"/>
          <w:szCs w:val="24"/>
        </w:rPr>
        <w:t>.</w:t>
      </w:r>
    </w:p>
    <w:p w14:paraId="1B4E8B34" w14:textId="64204B7E" w:rsidR="007E518D" w:rsidRPr="007E518D" w:rsidRDefault="007E518D" w:rsidP="007E518D">
      <w:pPr>
        <w:pStyle w:val="Textodenotaderodap"/>
        <w:spacing w:after="240" w:line="360" w:lineRule="auto"/>
        <w:rPr>
          <w:sz w:val="24"/>
          <w:szCs w:val="24"/>
          <w:lang w:val="es-ES"/>
        </w:rPr>
      </w:pPr>
      <w:r w:rsidRPr="007E518D">
        <w:rPr>
          <w:sz w:val="24"/>
          <w:szCs w:val="24"/>
          <w:lang w:val="es-ES"/>
        </w:rPr>
        <w:t xml:space="preserve">DROMI, José Roberto. </w:t>
      </w:r>
      <w:proofErr w:type="spellStart"/>
      <w:r w:rsidRPr="007E518D">
        <w:rPr>
          <w:b/>
          <w:bCs/>
          <w:i/>
          <w:iCs/>
          <w:sz w:val="24"/>
          <w:szCs w:val="24"/>
          <w:lang w:val="es-ES"/>
        </w:rPr>
        <w:t>Licitacion</w:t>
      </w:r>
      <w:proofErr w:type="spellEnd"/>
      <w:r w:rsidRPr="007E518D">
        <w:rPr>
          <w:b/>
          <w:bCs/>
          <w:i/>
          <w:iCs/>
          <w:sz w:val="24"/>
          <w:szCs w:val="24"/>
          <w:lang w:val="es-ES"/>
        </w:rPr>
        <w:t xml:space="preserve"> publica</w:t>
      </w:r>
      <w:r w:rsidRPr="007E518D">
        <w:rPr>
          <w:sz w:val="24"/>
          <w:szCs w:val="24"/>
          <w:lang w:val="es-ES"/>
        </w:rPr>
        <w:t xml:space="preserve">. 2. ed. </w:t>
      </w:r>
      <w:proofErr w:type="spellStart"/>
      <w:r w:rsidRPr="007E518D">
        <w:rPr>
          <w:sz w:val="24"/>
          <w:szCs w:val="24"/>
          <w:lang w:val="es-ES"/>
        </w:rPr>
        <w:t>atual</w:t>
      </w:r>
      <w:proofErr w:type="spellEnd"/>
      <w:r w:rsidRPr="007E518D">
        <w:rPr>
          <w:sz w:val="24"/>
          <w:szCs w:val="24"/>
          <w:lang w:val="es-ES"/>
        </w:rPr>
        <w:t>. Buenos Aires: Ciudad Argentina.</w:t>
      </w:r>
    </w:p>
    <w:p w14:paraId="72FA5118" w14:textId="1198EF0D" w:rsidR="007E518D" w:rsidRPr="007E518D" w:rsidRDefault="007E518D" w:rsidP="007E518D">
      <w:pPr>
        <w:pStyle w:val="body"/>
        <w:spacing w:before="0" w:beforeAutospacing="0" w:after="240" w:afterAutospacing="0" w:line="360" w:lineRule="auto"/>
        <w:jc w:val="both"/>
        <w:rPr>
          <w:color w:val="000000"/>
        </w:rPr>
      </w:pPr>
      <w:r w:rsidRPr="007E518D">
        <w:rPr>
          <w:color w:val="000000"/>
        </w:rPr>
        <w:t>JUSTEN FILHO, Marçal. </w:t>
      </w:r>
      <w:r w:rsidRPr="007E518D">
        <w:rPr>
          <w:b/>
          <w:bCs/>
          <w:color w:val="000000"/>
        </w:rPr>
        <w:t>Comentários à Lei de Licitações e Contratações Administrativas</w:t>
      </w:r>
      <w:r w:rsidRPr="007E518D">
        <w:rPr>
          <w:color w:val="000000"/>
        </w:rPr>
        <w:t>. 2.ed. São Paulo: Thompson Reuters Brasil.</w:t>
      </w:r>
    </w:p>
    <w:p w14:paraId="3BCFF624" w14:textId="73F4CE3D" w:rsidR="007E518D" w:rsidRDefault="007E518D" w:rsidP="007E518D">
      <w:pPr>
        <w:pStyle w:val="Textodenotaderodap"/>
        <w:spacing w:after="240" w:line="360" w:lineRule="auto"/>
        <w:rPr>
          <w:sz w:val="24"/>
          <w:szCs w:val="24"/>
        </w:rPr>
      </w:pPr>
      <w:r w:rsidRPr="007E518D">
        <w:rPr>
          <w:color w:val="000000"/>
          <w:sz w:val="24"/>
          <w:szCs w:val="24"/>
        </w:rPr>
        <w:t xml:space="preserve">MELLO, Celso Antônio Bandeira de. </w:t>
      </w:r>
      <w:r w:rsidRPr="007E518D">
        <w:rPr>
          <w:b/>
          <w:bCs/>
          <w:color w:val="000000"/>
          <w:sz w:val="24"/>
          <w:szCs w:val="24"/>
        </w:rPr>
        <w:t>Curso de Direito Administrativo</w:t>
      </w:r>
      <w:r w:rsidRPr="007E518D">
        <w:rPr>
          <w:color w:val="000000"/>
          <w:sz w:val="24"/>
          <w:szCs w:val="24"/>
        </w:rPr>
        <w:t>. 30a ed. São Paulo: Malheiros, 2013</w:t>
      </w:r>
      <w:r w:rsidRPr="007E518D">
        <w:rPr>
          <w:sz w:val="24"/>
          <w:szCs w:val="24"/>
        </w:rPr>
        <w:t>.</w:t>
      </w:r>
    </w:p>
    <w:p w14:paraId="59FDD326" w14:textId="346C8769" w:rsidR="00954D92" w:rsidRPr="00954D92" w:rsidRDefault="00954D92" w:rsidP="007E518D">
      <w:pPr>
        <w:pStyle w:val="Textodenotaderodap"/>
        <w:spacing w:after="240" w:line="360" w:lineRule="auto"/>
        <w:rPr>
          <w:sz w:val="24"/>
          <w:szCs w:val="24"/>
        </w:rPr>
      </w:pPr>
      <w:r w:rsidRPr="00954D92">
        <w:rPr>
          <w:color w:val="1D1E20"/>
          <w:sz w:val="24"/>
          <w:szCs w:val="24"/>
        </w:rPr>
        <w:lastRenderedPageBreak/>
        <w:t>NIEBUHR, Joel de Menezes. </w:t>
      </w:r>
      <w:r w:rsidRPr="00954D92">
        <w:rPr>
          <w:rStyle w:val="Forte"/>
          <w:rFonts w:eastAsiaTheme="majorEastAsia"/>
          <w:color w:val="1D1E20"/>
          <w:sz w:val="24"/>
          <w:szCs w:val="24"/>
        </w:rPr>
        <w:t>Licitação pública e contrato administrativo</w:t>
      </w:r>
      <w:r w:rsidRPr="00954D92">
        <w:rPr>
          <w:color w:val="1D1E20"/>
          <w:sz w:val="24"/>
          <w:szCs w:val="24"/>
        </w:rPr>
        <w:t>. 7.ed. Belo Horizonte: Fórum, 2024.</w:t>
      </w:r>
    </w:p>
    <w:p w14:paraId="303DE5C9" w14:textId="429F4A5E" w:rsidR="007E518D" w:rsidRPr="007E518D" w:rsidRDefault="007E518D" w:rsidP="007E518D">
      <w:pPr>
        <w:pStyle w:val="Textodenotaderodap"/>
        <w:spacing w:after="240" w:line="360" w:lineRule="auto"/>
        <w:rPr>
          <w:sz w:val="24"/>
          <w:szCs w:val="24"/>
        </w:rPr>
      </w:pPr>
      <w:r w:rsidRPr="007E518D">
        <w:rPr>
          <w:sz w:val="24"/>
          <w:szCs w:val="24"/>
        </w:rPr>
        <w:t xml:space="preserve">TORRES, Ronny Charles Lopes de.  </w:t>
      </w:r>
      <w:r w:rsidRPr="007E518D">
        <w:rPr>
          <w:b/>
          <w:bCs/>
          <w:sz w:val="24"/>
          <w:szCs w:val="24"/>
        </w:rPr>
        <w:t>Leis de Licitações Públicas Comentadas</w:t>
      </w:r>
      <w:r w:rsidRPr="007E518D">
        <w:rPr>
          <w:sz w:val="24"/>
          <w:szCs w:val="24"/>
        </w:rPr>
        <w:t xml:space="preserve">. 16.ed. São Paulo: Editora </w:t>
      </w:r>
      <w:proofErr w:type="spellStart"/>
      <w:r w:rsidRPr="007E518D">
        <w:rPr>
          <w:sz w:val="24"/>
          <w:szCs w:val="24"/>
        </w:rPr>
        <w:t>Juspodivm</w:t>
      </w:r>
      <w:proofErr w:type="spellEnd"/>
      <w:r w:rsidRPr="007E518D">
        <w:rPr>
          <w:sz w:val="24"/>
          <w:szCs w:val="24"/>
        </w:rPr>
        <w:t>, 2025.</w:t>
      </w:r>
    </w:p>
    <w:p w14:paraId="7BBC7A3C" w14:textId="77777777" w:rsidR="00614211" w:rsidRPr="007E518D" w:rsidRDefault="00614211" w:rsidP="007E518D">
      <w:pPr>
        <w:spacing w:line="360" w:lineRule="auto"/>
        <w:ind w:firstLine="1134"/>
        <w:jc w:val="both"/>
        <w:rPr>
          <w:rFonts w:ascii="Times New Roman" w:hAnsi="Times New Roman" w:cs="Times New Roman"/>
        </w:rPr>
      </w:pPr>
    </w:p>
    <w:sectPr w:rsidR="00614211" w:rsidRPr="007E51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83F5" w14:textId="77777777" w:rsidR="00BE3FF4" w:rsidRDefault="00BE3FF4" w:rsidP="001F6214">
      <w:r>
        <w:separator/>
      </w:r>
    </w:p>
  </w:endnote>
  <w:endnote w:type="continuationSeparator" w:id="0">
    <w:p w14:paraId="33039523" w14:textId="77777777" w:rsidR="00BE3FF4" w:rsidRDefault="00BE3FF4" w:rsidP="001F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D836" w14:textId="77777777" w:rsidR="00BE3FF4" w:rsidRDefault="00BE3FF4" w:rsidP="001F6214">
      <w:r>
        <w:separator/>
      </w:r>
    </w:p>
  </w:footnote>
  <w:footnote w:type="continuationSeparator" w:id="0">
    <w:p w14:paraId="71ECC8BE" w14:textId="77777777" w:rsidR="00BE3FF4" w:rsidRDefault="00BE3FF4" w:rsidP="001F6214">
      <w:r>
        <w:continuationSeparator/>
      </w:r>
    </w:p>
  </w:footnote>
  <w:footnote w:id="1">
    <w:p w14:paraId="3F3CD4E9" w14:textId="77777777" w:rsidR="008F4477" w:rsidRPr="00BD6449" w:rsidRDefault="00910858" w:rsidP="00BD6449">
      <w:pPr>
        <w:pStyle w:val="Textodenotaderodap"/>
        <w:spacing w:after="120"/>
      </w:pPr>
      <w:r w:rsidRPr="00BD6449">
        <w:rPr>
          <w:rStyle w:val="Refdenotaderodap"/>
        </w:rPr>
        <w:footnoteRef/>
      </w:r>
      <w:r w:rsidRPr="00BD6449">
        <w:t xml:space="preserve"> </w:t>
      </w:r>
      <w:r w:rsidR="008F4477" w:rsidRPr="00BD6449">
        <w:t xml:space="preserve">Aos interessados, em aprofundar a compreensão acerca do tema, transcrevemos trecho de obra de nossa autoria: </w:t>
      </w:r>
    </w:p>
    <w:p w14:paraId="71F0617C" w14:textId="3CEF3891" w:rsidR="00910858" w:rsidRPr="00BD6449" w:rsidRDefault="00910858" w:rsidP="00BD6449">
      <w:pPr>
        <w:pStyle w:val="Textodenotaderodap"/>
        <w:spacing w:after="120"/>
      </w:pPr>
      <w:r w:rsidRPr="00BD6449">
        <w:t xml:space="preserve">“Mas para avançar é necessário retroceder brevemente e fazer uma rápida incursão sobre o que é a hermenêutica. Sua origem etimológica deriva do verbo grego </w:t>
      </w:r>
      <w:proofErr w:type="spellStart"/>
      <w:r w:rsidRPr="00BD6449">
        <w:rPr>
          <w:i/>
          <w:iCs/>
        </w:rPr>
        <w:t>hermeneuein</w:t>
      </w:r>
      <w:proofErr w:type="spellEnd"/>
      <w:r w:rsidRPr="00BD6449">
        <w:t xml:space="preserve">, que pode ser traduzido como interpretar, assim como o substantivo </w:t>
      </w:r>
      <w:proofErr w:type="spellStart"/>
      <w:r w:rsidRPr="00BD6449">
        <w:rPr>
          <w:i/>
          <w:iCs/>
        </w:rPr>
        <w:t>hermeneia</w:t>
      </w:r>
      <w:proofErr w:type="spellEnd"/>
      <w:r w:rsidRPr="00BD6449">
        <w:t xml:space="preserve">, que significa interpretação. Esses dois vocábulos estão ligados à mitologia grega como caracteres do deus Hermes, que </w:t>
      </w:r>
      <w:r w:rsidR="008F4477" w:rsidRPr="00BD6449">
        <w:t>‘</w:t>
      </w:r>
      <w:r w:rsidRPr="00BD6449">
        <w:t>era, na visão da antiguidade ocidental, responsável pela mediação entre os Deuses e os homens</w:t>
      </w:r>
      <w:r w:rsidR="008F4477" w:rsidRPr="00BD6449">
        <w:t>’</w:t>
      </w:r>
      <w:r w:rsidRPr="00BD6449">
        <w:t xml:space="preserve">, e atuava </w:t>
      </w:r>
      <w:r w:rsidR="008F4477" w:rsidRPr="00BD6449">
        <w:t>‘</w:t>
      </w:r>
      <w:r w:rsidRPr="00BD6449">
        <w:t>unindo a esfera divino-transcendental e a civilização humana</w:t>
      </w:r>
      <w:r w:rsidR="008F4477" w:rsidRPr="00BD6449">
        <w:t>’</w:t>
      </w:r>
      <w:r w:rsidRPr="00BD6449">
        <w:t>.</w:t>
      </w:r>
    </w:p>
    <w:p w14:paraId="2DD8BB53" w14:textId="4BB9E814" w:rsidR="00910858" w:rsidRPr="00BD6449" w:rsidRDefault="00910858" w:rsidP="00BD6449">
      <w:pPr>
        <w:pStyle w:val="Textodenotaderodap"/>
        <w:spacing w:after="120"/>
      </w:pPr>
      <w:r w:rsidRPr="00BD6449">
        <w:t xml:space="preserve">Desta feita, é possível concluir que </w:t>
      </w:r>
      <w:r w:rsidR="008F4477" w:rsidRPr="00BD6449">
        <w:t>‘</w:t>
      </w:r>
      <w:r w:rsidRPr="00BD6449">
        <w:t>levada à sua raiz grega mais antiga, a origem das atuais palavras, hermenêutica e hermenêutico, sugere o processo de tornar compreensíveis, especialmente enquanto tal processo envolve a linguagem</w:t>
      </w:r>
      <w:r w:rsidR="008F4477" w:rsidRPr="00BD6449">
        <w:t>’</w:t>
      </w:r>
      <w:r w:rsidRPr="00BD6449">
        <w:t>. É possível depreender também que a hermenêutica transmite a ideia de canal de comunicação entre os deuses e o mortal, entre o poder e o homem, entre o transcendental e o concreto.</w:t>
      </w:r>
    </w:p>
    <w:p w14:paraId="6E971A91" w14:textId="72FFEF04" w:rsidR="00910858" w:rsidRPr="00BD6449" w:rsidRDefault="00910858" w:rsidP="00BD6449">
      <w:pPr>
        <w:pStyle w:val="Textodenotaderodap"/>
        <w:spacing w:after="120"/>
      </w:pPr>
      <w:r w:rsidRPr="00BD6449">
        <w:t>Ainda na senda etimológica,</w:t>
      </w:r>
      <w:r w:rsidR="008F4477" w:rsidRPr="00BD6449">
        <w:t xml:space="preserve"> ‘</w:t>
      </w:r>
      <w:r w:rsidRPr="00BD6449">
        <w:t xml:space="preserve">a palavra interpretação provém do termo latino </w:t>
      </w:r>
      <w:proofErr w:type="spellStart"/>
      <w:r w:rsidRPr="00BD6449">
        <w:rPr>
          <w:i/>
          <w:iCs/>
        </w:rPr>
        <w:t>interpretare</w:t>
      </w:r>
      <w:proofErr w:type="spellEnd"/>
      <w:r w:rsidRPr="00BD6449">
        <w:t xml:space="preserve"> (</w:t>
      </w:r>
      <w:proofErr w:type="spellStart"/>
      <w:r w:rsidRPr="00BD6449">
        <w:t>inter-penetrare</w:t>
      </w:r>
      <w:proofErr w:type="spellEnd"/>
      <w:r w:rsidRPr="00BD6449">
        <w:t>), significando penetrar mais para dentro</w:t>
      </w:r>
      <w:r w:rsidR="008F4477" w:rsidRPr="00BD6449">
        <w:t>’</w:t>
      </w:r>
      <w:r w:rsidRPr="00BD6449">
        <w:t xml:space="preserve">, o que </w:t>
      </w:r>
      <w:r w:rsidR="008F4477" w:rsidRPr="00BD6449">
        <w:t>‘</w:t>
      </w:r>
      <w:r w:rsidRPr="00BD6449">
        <w:t>se deve à prática religiosa de feiticeiros e adivinhos, os quais introduziam suas mãos nas entranhas de animais mortos, a fim de conhecer o destino das pessoas e obter respostas para os problemas humanos</w:t>
      </w:r>
      <w:r w:rsidR="008F4477" w:rsidRPr="00BD6449">
        <w:t>’</w:t>
      </w:r>
      <w:r w:rsidRPr="00BD6449">
        <w:t>.</w:t>
      </w:r>
    </w:p>
    <w:p w14:paraId="47F97D04" w14:textId="1EC794DD" w:rsidR="00910858" w:rsidRPr="00BD6449" w:rsidRDefault="00910858" w:rsidP="00BD6449">
      <w:pPr>
        <w:pStyle w:val="Textodenotaderodap"/>
        <w:spacing w:after="120"/>
      </w:pPr>
      <w:r w:rsidRPr="00BD6449">
        <w:t xml:space="preserve">Na linha dessa análise etimológica, entre as diversas possibilidades de conceituação da hermenêutica, é possível defini-la como </w:t>
      </w:r>
      <w:r w:rsidR="008F4477" w:rsidRPr="00BD6449">
        <w:t>‘</w:t>
      </w:r>
      <w:r w:rsidRPr="00BD6449">
        <w:t>um saber que procura problematizar os pressupostos, a natureza, a metodologia e o escopo da interpretação humana, nos planos artístico, literário e jurídico</w:t>
      </w:r>
      <w:r w:rsidR="008F4477" w:rsidRPr="00BD6449">
        <w:t>’</w:t>
      </w:r>
      <w:r w:rsidRPr="00BD6449">
        <w:t xml:space="preserve">. Desse modo, a interpretação </w:t>
      </w:r>
      <w:r w:rsidR="008F4477" w:rsidRPr="00BD6449">
        <w:t>‘</w:t>
      </w:r>
      <w:r w:rsidRPr="00BD6449">
        <w:t>indicará uma espécie de compreensão dos fenômenos culturais, que se manifestam através da mediação comunicativa estabelecida entre uma dada obra – como, por exemplo, o sistema jurídico – e a comunidade humana</w:t>
      </w:r>
      <w:r w:rsidR="008F4477" w:rsidRPr="00BD6449">
        <w:t>’</w:t>
      </w:r>
      <w:r w:rsidRPr="00BD6449">
        <w:t>.”</w:t>
      </w:r>
      <w:r w:rsidR="008F4477" w:rsidRPr="00BD6449">
        <w:t xml:space="preserve">. </w:t>
      </w:r>
      <w:r w:rsidR="008F4477" w:rsidRPr="00BD6449">
        <w:rPr>
          <w:i/>
          <w:iCs/>
        </w:rPr>
        <w:t>In</w:t>
      </w:r>
      <w:r w:rsidR="008F4477" w:rsidRPr="00BD6449">
        <w:t xml:space="preserve">: </w:t>
      </w:r>
      <w:r w:rsidR="00BD6449" w:rsidRPr="00BD6449">
        <w:rPr>
          <w:color w:val="000000"/>
        </w:rPr>
        <w:t>BARBOSA, Jandeson da Costa. </w:t>
      </w:r>
      <w:r w:rsidR="00BD6449" w:rsidRPr="00BD6449">
        <w:rPr>
          <w:b/>
          <w:bCs/>
          <w:color w:val="000000"/>
        </w:rPr>
        <w:t>O interesse público constitucional numa formulação à luz de pressupostos teóricos, contextos e fatos no âmbito dos direitos fundamentais</w:t>
      </w:r>
      <w:r w:rsidR="00BD6449" w:rsidRPr="00BD6449">
        <w:rPr>
          <w:color w:val="000000"/>
        </w:rPr>
        <w:t>. Porto Alegre: Livraria do Advogado, 2022.</w:t>
      </w:r>
    </w:p>
  </w:footnote>
  <w:footnote w:id="2">
    <w:p w14:paraId="2DB3D645" w14:textId="3194727E" w:rsidR="00BD6449" w:rsidRPr="00BD6449" w:rsidRDefault="00147649" w:rsidP="00BD6449">
      <w:pPr>
        <w:pStyle w:val="body"/>
        <w:spacing w:before="0" w:beforeAutospacing="0" w:after="120" w:afterAutospacing="0"/>
        <w:jc w:val="both"/>
        <w:rPr>
          <w:color w:val="000000"/>
          <w:sz w:val="20"/>
          <w:szCs w:val="20"/>
        </w:rPr>
      </w:pPr>
      <w:r w:rsidRPr="00BD6449">
        <w:rPr>
          <w:rStyle w:val="Refdenotaderodap"/>
          <w:sz w:val="20"/>
          <w:szCs w:val="20"/>
        </w:rPr>
        <w:footnoteRef/>
      </w:r>
      <w:r w:rsidRPr="00BD6449">
        <w:rPr>
          <w:sz w:val="20"/>
          <w:szCs w:val="20"/>
        </w:rPr>
        <w:t xml:space="preserve"> </w:t>
      </w:r>
      <w:r w:rsidR="00BD6449" w:rsidRPr="00BD6449">
        <w:rPr>
          <w:color w:val="000000"/>
          <w:sz w:val="20"/>
          <w:szCs w:val="20"/>
        </w:rPr>
        <w:t>JUSTEN FILHO, Marçal. </w:t>
      </w:r>
      <w:r w:rsidR="00BD6449" w:rsidRPr="00BD6449">
        <w:rPr>
          <w:b/>
          <w:bCs/>
          <w:color w:val="000000"/>
          <w:sz w:val="20"/>
          <w:szCs w:val="20"/>
        </w:rPr>
        <w:t>Comentários à Lei de Licitações e Contratações Administrativas</w:t>
      </w:r>
      <w:r w:rsidR="00BD6449" w:rsidRPr="00BD6449">
        <w:rPr>
          <w:color w:val="000000"/>
          <w:sz w:val="20"/>
          <w:szCs w:val="20"/>
        </w:rPr>
        <w:t>. 2.ed. São Paulo: Thompson Reuters Brasil, 2023</w:t>
      </w:r>
      <w:r w:rsidR="00BD6449">
        <w:rPr>
          <w:color w:val="000000"/>
          <w:sz w:val="20"/>
          <w:szCs w:val="20"/>
        </w:rPr>
        <w:t>, p. 812.</w:t>
      </w:r>
    </w:p>
    <w:p w14:paraId="099336F5" w14:textId="23907EF0" w:rsidR="00147649" w:rsidRPr="00BD6449" w:rsidRDefault="00147649" w:rsidP="00BD6449">
      <w:pPr>
        <w:pStyle w:val="Textodenotaderodap"/>
        <w:spacing w:after="120"/>
      </w:pPr>
    </w:p>
  </w:footnote>
  <w:footnote w:id="3">
    <w:p w14:paraId="3D2D6C42" w14:textId="5ED3A2E5" w:rsidR="00606298" w:rsidRPr="00614211" w:rsidRDefault="00606298" w:rsidP="00BD6449">
      <w:pPr>
        <w:pStyle w:val="Textodenotaderodap"/>
        <w:spacing w:after="120"/>
        <w:rPr>
          <w:lang w:val="es-ES"/>
        </w:rPr>
      </w:pPr>
      <w:r w:rsidRPr="00BD6449">
        <w:rPr>
          <w:rStyle w:val="Refdenotaderodap"/>
        </w:rPr>
        <w:footnoteRef/>
      </w:r>
      <w:r w:rsidRPr="00614211">
        <w:rPr>
          <w:lang w:val="es-ES"/>
        </w:rPr>
        <w:t xml:space="preserve"> </w:t>
      </w:r>
      <w:r w:rsidR="00614211" w:rsidRPr="00614211">
        <w:rPr>
          <w:lang w:val="es-ES"/>
        </w:rPr>
        <w:t xml:space="preserve">DROMI, José Roberto. </w:t>
      </w:r>
      <w:proofErr w:type="spellStart"/>
      <w:r w:rsidR="00614211" w:rsidRPr="00614211">
        <w:rPr>
          <w:b/>
          <w:bCs/>
          <w:i/>
          <w:iCs/>
          <w:lang w:val="es-ES"/>
        </w:rPr>
        <w:t>Licitacion</w:t>
      </w:r>
      <w:proofErr w:type="spellEnd"/>
      <w:r w:rsidR="00614211" w:rsidRPr="00614211">
        <w:rPr>
          <w:b/>
          <w:bCs/>
          <w:i/>
          <w:iCs/>
          <w:lang w:val="es-ES"/>
        </w:rPr>
        <w:t xml:space="preserve"> publica</w:t>
      </w:r>
      <w:r w:rsidR="00614211" w:rsidRPr="00614211">
        <w:rPr>
          <w:lang w:val="es-ES"/>
        </w:rPr>
        <w:t xml:space="preserve">. 2. ed. </w:t>
      </w:r>
      <w:proofErr w:type="spellStart"/>
      <w:r w:rsidR="00614211" w:rsidRPr="00614211">
        <w:rPr>
          <w:lang w:val="es-ES"/>
        </w:rPr>
        <w:t>atual</w:t>
      </w:r>
      <w:proofErr w:type="spellEnd"/>
      <w:r w:rsidR="00614211" w:rsidRPr="00614211">
        <w:rPr>
          <w:lang w:val="es-ES"/>
        </w:rPr>
        <w:t>. Buenos Aires: Ciudad Argentina</w:t>
      </w:r>
      <w:r w:rsidRPr="00614211">
        <w:rPr>
          <w:lang w:val="es-ES"/>
        </w:rPr>
        <w:t>, p. 357.</w:t>
      </w:r>
    </w:p>
  </w:footnote>
  <w:footnote w:id="4">
    <w:p w14:paraId="5372C153" w14:textId="43CD8718" w:rsidR="00900C25" w:rsidRPr="00BD6449" w:rsidRDefault="00900C25" w:rsidP="00BD6449">
      <w:pPr>
        <w:pStyle w:val="Textodenotaderodap"/>
        <w:spacing w:after="120"/>
      </w:pPr>
      <w:r w:rsidRPr="00BD6449">
        <w:rPr>
          <w:rStyle w:val="Refdenotaderodap"/>
        </w:rPr>
        <w:footnoteRef/>
      </w:r>
      <w:r w:rsidRPr="00BD6449">
        <w:t xml:space="preserve"> </w:t>
      </w:r>
      <w:r w:rsidR="00BD6449" w:rsidRPr="00BD6449">
        <w:rPr>
          <w:color w:val="000000"/>
        </w:rPr>
        <w:t>BARBOSA, Jandeson da Costa. </w:t>
      </w:r>
      <w:r w:rsidR="00BD6449" w:rsidRPr="00BD6449">
        <w:rPr>
          <w:b/>
          <w:bCs/>
        </w:rPr>
        <w:t>A validade da prorrogação do contrato ocorre na data da assinatura</w:t>
      </w:r>
      <w:r w:rsidR="00BD6449">
        <w:t>. Acesso em: &lt;</w:t>
      </w:r>
      <w:r w:rsidRPr="00BD6449">
        <w:t>https://virtugestaopublica.com.br/a-validade-da-prorrogacao-do-contrato-ocorre-na-data-da-assinatura</w:t>
      </w:r>
      <w:r w:rsidR="00BD6449">
        <w:t xml:space="preserve">&gt;. Acesso em: 05 </w:t>
      </w:r>
      <w:proofErr w:type="spellStart"/>
      <w:r w:rsidR="00BD6449">
        <w:t>ago</w:t>
      </w:r>
      <w:proofErr w:type="spellEnd"/>
      <w:r w:rsidR="00BD6449">
        <w:t xml:space="preserve"> 2025.</w:t>
      </w:r>
    </w:p>
  </w:footnote>
  <w:footnote w:id="5">
    <w:p w14:paraId="45236063" w14:textId="6FF1E0E8" w:rsidR="007E518D" w:rsidRDefault="007E518D">
      <w:pPr>
        <w:pStyle w:val="Textodenotaderodap"/>
      </w:pPr>
      <w:r>
        <w:rPr>
          <w:rStyle w:val="Refdenotaderodap"/>
        </w:rPr>
        <w:footnoteRef/>
      </w:r>
      <w:r>
        <w:t xml:space="preserve"> </w:t>
      </w:r>
      <w:r w:rsidRPr="00BD6449">
        <w:rPr>
          <w:color w:val="000000"/>
        </w:rPr>
        <w:t>BARBOSA, Jandeson da Costa. </w:t>
      </w:r>
      <w:r w:rsidRPr="007E518D">
        <w:rPr>
          <w:b/>
          <w:bCs/>
          <w:color w:val="000000"/>
        </w:rPr>
        <w:t>Como instruir uma dispensa de licitação em razão do valor em menos de uma hora</w:t>
      </w:r>
      <w:r>
        <w:rPr>
          <w:color w:val="000000"/>
        </w:rPr>
        <w:t>. Disponível em: &lt;</w:t>
      </w:r>
      <w:r w:rsidRPr="007E518D">
        <w:t xml:space="preserve"> </w:t>
      </w:r>
      <w:r w:rsidRPr="007E518D">
        <w:rPr>
          <w:color w:val="000000"/>
        </w:rPr>
        <w:t>https://virtugestaopublica.com.br/como-instruir-uma-dispensa-de-licitacao-em-razao-do-valor-em-menos-de-uma-hora</w:t>
      </w:r>
      <w:r>
        <w:rPr>
          <w:color w:val="000000"/>
        </w:rPr>
        <w:t xml:space="preserve">&gt;. Acesso em: 05 </w:t>
      </w:r>
      <w:proofErr w:type="spellStart"/>
      <w:r>
        <w:rPr>
          <w:color w:val="000000"/>
        </w:rPr>
        <w:t>ago</w:t>
      </w:r>
      <w:proofErr w:type="spellEnd"/>
      <w:r>
        <w:rPr>
          <w:color w:val="000000"/>
        </w:rPr>
        <w:t xml:space="preserve"> 2025.</w:t>
      </w:r>
    </w:p>
  </w:footnote>
  <w:footnote w:id="6">
    <w:p w14:paraId="033B7962" w14:textId="2C4F7C8B" w:rsidR="00EB503B" w:rsidRPr="00BD6449" w:rsidRDefault="00EB503B" w:rsidP="00BD6449">
      <w:pPr>
        <w:pStyle w:val="Textodenotaderodap"/>
        <w:spacing w:after="120"/>
      </w:pPr>
      <w:r w:rsidRPr="00BD6449">
        <w:rPr>
          <w:rStyle w:val="Refdenotaderodap"/>
        </w:rPr>
        <w:footnoteRef/>
      </w:r>
      <w:r w:rsidRPr="00BD6449">
        <w:t xml:space="preserve"> </w:t>
      </w:r>
      <w:r w:rsidR="00BD6449">
        <w:t>“</w:t>
      </w:r>
      <w:r w:rsidRPr="00BD6449">
        <w:t xml:space="preserve">A norma acabada é, na verdade, o resultado da aplicação do texto legal ao caso concreto. Entretanto, também não nos filiamos à tese de que não há norma no texto legal. Prefere-se os conceitos de </w:t>
      </w:r>
      <w:r w:rsidRPr="00BD6449">
        <w:rPr>
          <w:i/>
          <w:iCs/>
        </w:rPr>
        <w:t>norma-dado</w:t>
      </w:r>
      <w:r w:rsidRPr="00BD6449">
        <w:t xml:space="preserve"> e </w:t>
      </w:r>
      <w:r w:rsidRPr="00BD6449">
        <w:rPr>
          <w:i/>
          <w:iCs/>
        </w:rPr>
        <w:t>norma-produto</w:t>
      </w:r>
      <w:r w:rsidRPr="00BD6449">
        <w:t xml:space="preserve">. Segundo essa construção, o texto legal é a </w:t>
      </w:r>
      <w:r w:rsidRPr="00BD6449">
        <w:rPr>
          <w:i/>
          <w:iCs/>
        </w:rPr>
        <w:t>norma-dado</w:t>
      </w:r>
      <w:r w:rsidRPr="00BD6449">
        <w:t xml:space="preserve"> que regulamenta de maneira abstrata determinada temática. O resultado da aplicação da </w:t>
      </w:r>
      <w:r w:rsidRPr="00BD6449">
        <w:rPr>
          <w:i/>
          <w:iCs/>
        </w:rPr>
        <w:t>norma-dado</w:t>
      </w:r>
      <w:r w:rsidRPr="00BD6449">
        <w:t xml:space="preserve"> ao caso concreto, considerando todo o contexto envolvido, as suas peculiaridades, as consequências, bem como todos os mandamentos constitucionais que regulam aquela situação-problema é que é a </w:t>
      </w:r>
      <w:r w:rsidRPr="00BD6449">
        <w:rPr>
          <w:i/>
          <w:iCs/>
        </w:rPr>
        <w:t>norma-produto</w:t>
      </w:r>
      <w:r w:rsidRPr="00BD6449">
        <w:t>.</w:t>
      </w:r>
      <w:r w:rsidR="00BD6449">
        <w:t xml:space="preserve">”. </w:t>
      </w:r>
      <w:r w:rsidR="00BD6449" w:rsidRPr="00BD6449">
        <w:rPr>
          <w:i/>
          <w:iCs/>
        </w:rPr>
        <w:t>In</w:t>
      </w:r>
      <w:r w:rsidR="00BD6449" w:rsidRPr="00BD6449">
        <w:t xml:space="preserve">: </w:t>
      </w:r>
      <w:r w:rsidR="00BD6449" w:rsidRPr="00BD6449">
        <w:rPr>
          <w:color w:val="000000"/>
        </w:rPr>
        <w:t>BARBOSA, Jandeson da Costa. </w:t>
      </w:r>
      <w:r w:rsidR="00BD6449" w:rsidRPr="00BD6449">
        <w:rPr>
          <w:b/>
          <w:bCs/>
          <w:color w:val="000000"/>
        </w:rPr>
        <w:t>O interesse público constitucional numa formulação à luz de pressupostos teóricos, contextos e fatos no âmbito dos direitos fundamentais</w:t>
      </w:r>
      <w:r w:rsidR="00BD6449" w:rsidRPr="00BD6449">
        <w:rPr>
          <w:color w:val="000000"/>
        </w:rPr>
        <w:t>. Porto Alegre: Livraria do Advogado, 2022.</w:t>
      </w:r>
    </w:p>
  </w:footnote>
  <w:footnote w:id="7">
    <w:p w14:paraId="4F2178D3" w14:textId="7D6FC1C3" w:rsidR="00EB503B" w:rsidRPr="00BD6449" w:rsidRDefault="00EB503B" w:rsidP="00BD6449">
      <w:pPr>
        <w:pStyle w:val="Textodenotaderodap"/>
        <w:spacing w:after="120"/>
      </w:pPr>
      <w:r w:rsidRPr="00BD6449">
        <w:rPr>
          <w:rStyle w:val="Refdenotaderodap"/>
        </w:rPr>
        <w:footnoteRef/>
      </w:r>
      <w:r w:rsidRPr="00BD6449">
        <w:t xml:space="preserve"> </w:t>
      </w:r>
      <w:r w:rsidR="00BD6449" w:rsidRPr="00BD6449">
        <w:rPr>
          <w:color w:val="000000"/>
        </w:rPr>
        <w:t>BARBOSA, Jandeson da Costa. </w:t>
      </w:r>
      <w:r w:rsidR="00BD6449" w:rsidRPr="00BD6449">
        <w:rPr>
          <w:b/>
          <w:bCs/>
          <w:color w:val="000000"/>
        </w:rPr>
        <w:t>O interesse público constitucional numa formulação à luz de pressupostos teóricos, contextos e fatos no âmbito dos direitos fundamentais</w:t>
      </w:r>
      <w:r w:rsidR="00BD6449" w:rsidRPr="00BD6449">
        <w:rPr>
          <w:color w:val="000000"/>
        </w:rPr>
        <w:t>. Porto Alegre: Livraria do Advogado, 2022.</w:t>
      </w:r>
    </w:p>
  </w:footnote>
  <w:footnote w:id="8">
    <w:p w14:paraId="7D264ED4" w14:textId="620C4C5F" w:rsidR="00FC6801" w:rsidRPr="00BD6449" w:rsidRDefault="00FC6801" w:rsidP="00BD6449">
      <w:pPr>
        <w:pStyle w:val="Textodenotaderodap"/>
        <w:spacing w:after="120"/>
      </w:pPr>
      <w:r w:rsidRPr="00BD6449">
        <w:rPr>
          <w:rStyle w:val="Refdenotaderodap"/>
        </w:rPr>
        <w:footnoteRef/>
      </w:r>
      <w:r w:rsidRPr="00BD6449">
        <w:t xml:space="preserve"> </w:t>
      </w:r>
      <w:r w:rsidR="00BD6449" w:rsidRPr="00BD6449">
        <w:rPr>
          <w:color w:val="1D1E20"/>
        </w:rPr>
        <w:t>DI PIETRO, Maria Sylvia Zanella. </w:t>
      </w:r>
      <w:r w:rsidR="00BD6449" w:rsidRPr="00BD6449">
        <w:rPr>
          <w:rStyle w:val="Forte"/>
          <w:rFonts w:eastAsiaTheme="majorEastAsia"/>
          <w:color w:val="1D1E20"/>
        </w:rPr>
        <w:t>Direito Administrativo</w:t>
      </w:r>
      <w:r w:rsidR="00BD6449" w:rsidRPr="00BD6449">
        <w:rPr>
          <w:color w:val="1D1E20"/>
        </w:rPr>
        <w:t>. Rio de Janeiro: Forense, 37. ed.</w:t>
      </w:r>
      <w:r w:rsidRPr="00BD6449">
        <w:t>, p. 133-134.</w:t>
      </w:r>
    </w:p>
  </w:footnote>
  <w:footnote w:id="9">
    <w:p w14:paraId="0B243E4D" w14:textId="2E788A4D" w:rsidR="00E4583F" w:rsidRPr="00BD6449" w:rsidRDefault="00E4583F" w:rsidP="00BD6449">
      <w:pPr>
        <w:pStyle w:val="Textodenotaderodap"/>
        <w:spacing w:after="120"/>
      </w:pPr>
      <w:r w:rsidRPr="00BD6449">
        <w:rPr>
          <w:rStyle w:val="Refdenotaderodap"/>
        </w:rPr>
        <w:footnoteRef/>
      </w:r>
      <w:r w:rsidRPr="00BD6449">
        <w:t xml:space="preserve"> </w:t>
      </w:r>
      <w:r w:rsidR="00614211" w:rsidRPr="00614211">
        <w:rPr>
          <w:color w:val="000000"/>
        </w:rPr>
        <w:t xml:space="preserve">MELLO, Celso Antônio Bandeira de. </w:t>
      </w:r>
      <w:r w:rsidR="00614211" w:rsidRPr="00614211">
        <w:rPr>
          <w:b/>
          <w:bCs/>
          <w:color w:val="000000"/>
        </w:rPr>
        <w:t>Curso de Direito Administrativo</w:t>
      </w:r>
      <w:r w:rsidR="00614211" w:rsidRPr="00614211">
        <w:rPr>
          <w:color w:val="000000"/>
        </w:rPr>
        <w:t>. 30a ed. São Paulo: Malheiros, 2013</w:t>
      </w:r>
      <w:r w:rsidR="00DD3539" w:rsidRPr="00BD6449">
        <w:t xml:space="preserve">, p. </w:t>
      </w:r>
      <w:r w:rsidRPr="00BD6449">
        <w:t>839</w:t>
      </w:r>
      <w:r w:rsidR="00DD3539" w:rsidRPr="00BD6449">
        <w:t>.</w:t>
      </w:r>
    </w:p>
  </w:footnote>
  <w:footnote w:id="10">
    <w:p w14:paraId="7DA39F88" w14:textId="140C1721" w:rsidR="00DD3539" w:rsidRPr="00614211" w:rsidRDefault="00DD3539" w:rsidP="00614211">
      <w:pPr>
        <w:pStyle w:val="NormalWeb"/>
        <w:jc w:val="both"/>
        <w:rPr>
          <w:rFonts w:eastAsia="Times New Roman"/>
          <w:sz w:val="20"/>
          <w:szCs w:val="20"/>
          <w:lang w:eastAsia="pt-BR"/>
        </w:rPr>
      </w:pPr>
      <w:r w:rsidRPr="00614211">
        <w:rPr>
          <w:rStyle w:val="Refdenotaderodap"/>
          <w:sz w:val="20"/>
          <w:szCs w:val="20"/>
        </w:rPr>
        <w:footnoteRef/>
      </w:r>
      <w:r w:rsidRPr="00614211">
        <w:rPr>
          <w:sz w:val="20"/>
          <w:szCs w:val="20"/>
        </w:rPr>
        <w:t xml:space="preserve"> </w:t>
      </w:r>
      <w:r w:rsidR="00614211" w:rsidRPr="00614211">
        <w:rPr>
          <w:rFonts w:eastAsia="Times New Roman"/>
          <w:color w:val="000000"/>
          <w:sz w:val="20"/>
          <w:szCs w:val="20"/>
          <w:lang w:eastAsia="pt-BR"/>
        </w:rPr>
        <w:t xml:space="preserve">MELLO, Celso Antônio Bandeira de. </w:t>
      </w:r>
      <w:r w:rsidR="00614211" w:rsidRPr="00614211">
        <w:rPr>
          <w:rFonts w:eastAsia="Times New Roman"/>
          <w:b/>
          <w:bCs/>
          <w:color w:val="000000"/>
          <w:sz w:val="20"/>
          <w:szCs w:val="20"/>
          <w:lang w:eastAsia="pt-BR"/>
        </w:rPr>
        <w:t>Curso de Direito Administrativo</w:t>
      </w:r>
      <w:r w:rsidR="00614211" w:rsidRPr="00614211">
        <w:rPr>
          <w:rFonts w:eastAsia="Times New Roman"/>
          <w:color w:val="000000"/>
          <w:sz w:val="20"/>
          <w:szCs w:val="20"/>
          <w:lang w:eastAsia="pt-BR"/>
        </w:rPr>
        <w:t>. 30a ed. São Paulo: Malheiros, 2013</w:t>
      </w:r>
      <w:r w:rsidRPr="00614211">
        <w:rPr>
          <w:sz w:val="20"/>
          <w:szCs w:val="20"/>
        </w:rPr>
        <w:t>, p. 839.</w:t>
      </w:r>
    </w:p>
  </w:footnote>
  <w:footnote w:id="11">
    <w:p w14:paraId="2A193514" w14:textId="42D46E66" w:rsidR="00954D92" w:rsidRPr="00954D92" w:rsidRDefault="00954D92">
      <w:pPr>
        <w:pStyle w:val="Textodenotaderodap"/>
      </w:pPr>
      <w:r w:rsidRPr="00954D92">
        <w:rPr>
          <w:rStyle w:val="Refdenotaderodap"/>
        </w:rPr>
        <w:footnoteRef/>
      </w:r>
      <w:r w:rsidRPr="00954D92">
        <w:t xml:space="preserve"> </w:t>
      </w:r>
      <w:r w:rsidRPr="00954D92">
        <w:rPr>
          <w:color w:val="1D1E20"/>
        </w:rPr>
        <w:t>NIEBUHR, Joel de Menezes. </w:t>
      </w:r>
      <w:r w:rsidRPr="00954D92">
        <w:rPr>
          <w:rStyle w:val="Forte"/>
          <w:rFonts w:eastAsiaTheme="majorEastAsia"/>
          <w:color w:val="1D1E20"/>
        </w:rPr>
        <w:t>Licitação pública e contrato administrativo</w:t>
      </w:r>
      <w:r w:rsidRPr="00954D92">
        <w:rPr>
          <w:color w:val="1D1E20"/>
        </w:rPr>
        <w:t>. 7.ed. Belo Horizonte: Fórum, 2024</w:t>
      </w:r>
      <w:r>
        <w:rPr>
          <w:color w:val="1D1E20"/>
        </w:rPr>
        <w:t>, p. 807</w:t>
      </w:r>
      <w:r w:rsidRPr="00954D92">
        <w:rPr>
          <w:color w:val="1D1E20"/>
        </w:rPr>
        <w:t>.</w:t>
      </w:r>
    </w:p>
  </w:footnote>
  <w:footnote w:id="12">
    <w:p w14:paraId="622A84AB" w14:textId="172FF656" w:rsidR="00147649" w:rsidRPr="00BD6449" w:rsidRDefault="00147649" w:rsidP="00BD6449">
      <w:pPr>
        <w:pStyle w:val="Textodenotaderodap"/>
        <w:spacing w:after="120"/>
      </w:pPr>
      <w:r w:rsidRPr="00BD6449">
        <w:rPr>
          <w:rStyle w:val="Refdenotaderodap"/>
        </w:rPr>
        <w:footnoteRef/>
      </w:r>
      <w:r w:rsidRPr="00BD6449">
        <w:t xml:space="preserve"> </w:t>
      </w:r>
      <w:r w:rsidR="00614211" w:rsidRPr="00614211">
        <w:t xml:space="preserve">TORRES, Ronny Charles Lopes de.  </w:t>
      </w:r>
      <w:r w:rsidR="00614211" w:rsidRPr="00614211">
        <w:rPr>
          <w:b/>
          <w:bCs/>
        </w:rPr>
        <w:t>Leis de Licitações Públicas Comentadas</w:t>
      </w:r>
      <w:r w:rsidR="00614211" w:rsidRPr="00614211">
        <w:t>. 1</w:t>
      </w:r>
      <w:r w:rsidR="00614211">
        <w:t>6</w:t>
      </w:r>
      <w:r w:rsidR="00614211" w:rsidRPr="00614211">
        <w:t xml:space="preserve">.ed. São Paulo: Editora </w:t>
      </w:r>
      <w:proofErr w:type="spellStart"/>
      <w:r w:rsidR="00614211" w:rsidRPr="00614211">
        <w:t>Juspodivm</w:t>
      </w:r>
      <w:proofErr w:type="spellEnd"/>
      <w:r w:rsidR="00614211" w:rsidRPr="00614211">
        <w:t>, 202</w:t>
      </w:r>
      <w:r w:rsidR="00614211">
        <w:t>5, p. 402.</w:t>
      </w:r>
    </w:p>
  </w:footnote>
  <w:footnote w:id="13">
    <w:p w14:paraId="0C9CC82A" w14:textId="77777777" w:rsidR="005D6BC3" w:rsidRPr="00BD6449" w:rsidRDefault="005D6BC3" w:rsidP="00BD6449">
      <w:pPr>
        <w:pStyle w:val="Textodenotaderodap"/>
        <w:spacing w:after="120"/>
      </w:pPr>
      <w:r w:rsidRPr="00BD6449">
        <w:rPr>
          <w:rStyle w:val="Refdenotaderodap"/>
          <w:rFonts w:eastAsiaTheme="majorEastAsia"/>
        </w:rPr>
        <w:footnoteRef/>
      </w:r>
      <w:r w:rsidRPr="00BD6449">
        <w:t xml:space="preserve"> ALCÂNTARA, Marcus. TORRES, Ronny Charles Lopes de. </w:t>
      </w:r>
      <w:r w:rsidRPr="00BD6449">
        <w:rPr>
          <w:b/>
          <w:bCs/>
        </w:rPr>
        <w:t>Lei n. 14.133/2021 e a exigência de balanço patrimonial dos 2 (dois) últimos exercícios sociais: uma análise crítica</w:t>
      </w:r>
      <w:r w:rsidRPr="00BD6449">
        <w:t xml:space="preserve">. Disponível em: &lt; https://ronnycharles.com.br/wp-content/uploads/2024/08/Artigo-Final-A-exigencia-do-balanco-patrimonial-dos-ultimos-dois-anos-4.pdf&gt;. Acesso em: 30 </w:t>
      </w:r>
      <w:proofErr w:type="spellStart"/>
      <w:r w:rsidRPr="00BD6449">
        <w:t>jul</w:t>
      </w:r>
      <w:proofErr w:type="spellEnd"/>
      <w:r w:rsidRPr="00BD6449">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649B9"/>
    <w:multiLevelType w:val="hybridMultilevel"/>
    <w:tmpl w:val="D4565E18"/>
    <w:lvl w:ilvl="0" w:tplc="B688F828">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C0E07C0"/>
    <w:multiLevelType w:val="multilevel"/>
    <w:tmpl w:val="5F7A2B8A"/>
    <w:lvl w:ilvl="0">
      <w:start w:val="2"/>
      <w:numFmt w:val="decimal"/>
      <w:lvlText w:val="%1."/>
      <w:lvlJc w:val="left"/>
      <w:pPr>
        <w:tabs>
          <w:tab w:val="num" w:pos="1494"/>
        </w:tabs>
        <w:ind w:left="0" w:firstLine="1134"/>
      </w:pPr>
      <w:rPr>
        <w:rFonts w:ascii="Times New Roman" w:hAnsi="Times New Roman" w:hint="default"/>
        <w:b w:val="0"/>
        <w:i w:val="0"/>
        <w:sz w:val="24"/>
      </w:rPr>
    </w:lvl>
    <w:lvl w:ilvl="1">
      <w:start w:val="1"/>
      <w:numFmt w:val="decimal"/>
      <w:isLgl/>
      <w:lvlText w:val="%1.%2."/>
      <w:lvlJc w:val="left"/>
      <w:pPr>
        <w:tabs>
          <w:tab w:val="num" w:pos="1701"/>
        </w:tabs>
        <w:ind w:left="1701" w:hanging="425"/>
      </w:pPr>
      <w:rPr>
        <w:rFonts w:ascii="Times New Roman" w:hAnsi="Times New Roman" w:hint="default"/>
        <w:b w:val="0"/>
        <w:i w:val="0"/>
        <w:sz w:val="24"/>
      </w:rPr>
    </w:lvl>
    <w:lvl w:ilvl="2">
      <w:start w:val="1"/>
      <w:numFmt w:val="decimal"/>
      <w:isLgl/>
      <w:lvlText w:val="%1.%2.%3."/>
      <w:lvlJc w:val="left"/>
      <w:pPr>
        <w:tabs>
          <w:tab w:val="num" w:pos="1985"/>
        </w:tabs>
        <w:ind w:left="1985" w:hanging="567"/>
      </w:pPr>
      <w:rPr>
        <w:rFonts w:ascii="Times New Roman" w:hAnsi="Times New Roman" w:hint="default"/>
        <w:b w:val="0"/>
        <w:i w:val="0"/>
        <w:sz w:val="24"/>
      </w:rPr>
    </w:lvl>
    <w:lvl w:ilvl="3">
      <w:start w:val="1"/>
      <w:numFmt w:val="decimal"/>
      <w:isLgl/>
      <w:lvlText w:val="%1.%2.%3.%4."/>
      <w:lvlJc w:val="left"/>
      <w:pPr>
        <w:tabs>
          <w:tab w:val="num" w:pos="1995"/>
        </w:tabs>
        <w:ind w:left="1995" w:hanging="720"/>
      </w:pPr>
    </w:lvl>
    <w:lvl w:ilvl="4">
      <w:start w:val="1"/>
      <w:numFmt w:val="decimal"/>
      <w:isLgl/>
      <w:lvlText w:val="%1.%2.%3.%4.%5."/>
      <w:lvlJc w:val="left"/>
      <w:pPr>
        <w:tabs>
          <w:tab w:val="num" w:pos="2780"/>
        </w:tabs>
        <w:ind w:left="2780" w:hanging="1080"/>
      </w:p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num w:numId="1" w16cid:durableId="1527937858">
    <w:abstractNumId w:val="1"/>
  </w:num>
  <w:num w:numId="2" w16cid:durableId="51225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14"/>
    <w:rsid w:val="00017092"/>
    <w:rsid w:val="00022D17"/>
    <w:rsid w:val="000250A5"/>
    <w:rsid w:val="0007328D"/>
    <w:rsid w:val="000C57F0"/>
    <w:rsid w:val="000E4D0F"/>
    <w:rsid w:val="00100B57"/>
    <w:rsid w:val="00105665"/>
    <w:rsid w:val="00133606"/>
    <w:rsid w:val="00146184"/>
    <w:rsid w:val="00147649"/>
    <w:rsid w:val="00185171"/>
    <w:rsid w:val="001B3DD6"/>
    <w:rsid w:val="001F2339"/>
    <w:rsid w:val="001F6214"/>
    <w:rsid w:val="00217F66"/>
    <w:rsid w:val="00227F5D"/>
    <w:rsid w:val="00261706"/>
    <w:rsid w:val="002A1624"/>
    <w:rsid w:val="0030683E"/>
    <w:rsid w:val="00337D99"/>
    <w:rsid w:val="00345122"/>
    <w:rsid w:val="00357B91"/>
    <w:rsid w:val="003E2460"/>
    <w:rsid w:val="00417A50"/>
    <w:rsid w:val="0045681E"/>
    <w:rsid w:val="00463C57"/>
    <w:rsid w:val="004814C3"/>
    <w:rsid w:val="004A74BA"/>
    <w:rsid w:val="004F65B3"/>
    <w:rsid w:val="0051582F"/>
    <w:rsid w:val="00592510"/>
    <w:rsid w:val="005B14F0"/>
    <w:rsid w:val="005D6BC3"/>
    <w:rsid w:val="005E4AA2"/>
    <w:rsid w:val="00606298"/>
    <w:rsid w:val="00614211"/>
    <w:rsid w:val="006338F1"/>
    <w:rsid w:val="00645DE8"/>
    <w:rsid w:val="00647817"/>
    <w:rsid w:val="006653E0"/>
    <w:rsid w:val="0067705A"/>
    <w:rsid w:val="00693C9A"/>
    <w:rsid w:val="006B053E"/>
    <w:rsid w:val="006B3AB6"/>
    <w:rsid w:val="006C5125"/>
    <w:rsid w:val="006D1449"/>
    <w:rsid w:val="007125DD"/>
    <w:rsid w:val="0076092F"/>
    <w:rsid w:val="0079458A"/>
    <w:rsid w:val="007E518D"/>
    <w:rsid w:val="007E5673"/>
    <w:rsid w:val="008D005B"/>
    <w:rsid w:val="008D1F06"/>
    <w:rsid w:val="008F4477"/>
    <w:rsid w:val="008F55FA"/>
    <w:rsid w:val="00900C25"/>
    <w:rsid w:val="00910858"/>
    <w:rsid w:val="00926E7B"/>
    <w:rsid w:val="00954D92"/>
    <w:rsid w:val="00A005F8"/>
    <w:rsid w:val="00A64F36"/>
    <w:rsid w:val="00A66A31"/>
    <w:rsid w:val="00AC530B"/>
    <w:rsid w:val="00AD2471"/>
    <w:rsid w:val="00B30452"/>
    <w:rsid w:val="00B75FBA"/>
    <w:rsid w:val="00BD6449"/>
    <w:rsid w:val="00BE3FF4"/>
    <w:rsid w:val="00C16C10"/>
    <w:rsid w:val="00C91FAC"/>
    <w:rsid w:val="00CE0108"/>
    <w:rsid w:val="00D2667F"/>
    <w:rsid w:val="00D346EB"/>
    <w:rsid w:val="00D536D6"/>
    <w:rsid w:val="00D71439"/>
    <w:rsid w:val="00D74FFE"/>
    <w:rsid w:val="00D92632"/>
    <w:rsid w:val="00DC429A"/>
    <w:rsid w:val="00DD3539"/>
    <w:rsid w:val="00E4583F"/>
    <w:rsid w:val="00E72E0A"/>
    <w:rsid w:val="00EB503B"/>
    <w:rsid w:val="00EB7CF1"/>
    <w:rsid w:val="00EE5E18"/>
    <w:rsid w:val="00F32B99"/>
    <w:rsid w:val="00F943DD"/>
    <w:rsid w:val="00FC6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55AD"/>
  <w15:chartTrackingRefBased/>
  <w15:docId w15:val="{05055021-D8E1-044E-BB07-9F21630C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F6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F6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F62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F62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F62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F62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F62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F62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F62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spChatGPT">
    <w:name w:val="RespChatGPT"/>
    <w:basedOn w:val="Normal"/>
    <w:autoRedefine/>
    <w:qFormat/>
    <w:rsid w:val="001B3DD6"/>
    <w:pPr>
      <w:shd w:val="clear" w:color="auto" w:fill="D9D9D9" w:themeFill="background1" w:themeFillShade="D9"/>
      <w:spacing w:after="60" w:line="276" w:lineRule="auto"/>
      <w:jc w:val="both"/>
    </w:pPr>
    <w:rPr>
      <w:rFonts w:ascii="Segoe UI" w:hAnsi="Segoe UI" w:cs="Arial"/>
      <w:color w:val="0070C0"/>
      <w:kern w:val="2"/>
      <w:szCs w:val="22"/>
      <w14:ligatures w14:val="standardContextual"/>
    </w:rPr>
  </w:style>
  <w:style w:type="character" w:customStyle="1" w:styleId="Ttulo1Char">
    <w:name w:val="Título 1 Char"/>
    <w:basedOn w:val="Fontepargpadro"/>
    <w:link w:val="Ttulo1"/>
    <w:uiPriority w:val="9"/>
    <w:rsid w:val="001F62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F62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F621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F621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F621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F62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F62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F62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F6214"/>
    <w:rPr>
      <w:rFonts w:eastAsiaTheme="majorEastAsia" w:cstheme="majorBidi"/>
      <w:color w:val="272727" w:themeColor="text1" w:themeTint="D8"/>
    </w:rPr>
  </w:style>
  <w:style w:type="paragraph" w:styleId="Ttulo">
    <w:name w:val="Title"/>
    <w:basedOn w:val="Normal"/>
    <w:next w:val="Normal"/>
    <w:link w:val="TtuloChar"/>
    <w:uiPriority w:val="10"/>
    <w:qFormat/>
    <w:rsid w:val="001F62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F62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F6214"/>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F62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F6214"/>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1F6214"/>
    <w:rPr>
      <w:i/>
      <w:iCs/>
      <w:color w:val="404040" w:themeColor="text1" w:themeTint="BF"/>
    </w:rPr>
  </w:style>
  <w:style w:type="paragraph" w:styleId="PargrafodaLista">
    <w:name w:val="List Paragraph"/>
    <w:aliases w:val="TÍTULO 1"/>
    <w:basedOn w:val="Normal"/>
    <w:link w:val="PargrafodaListaChar"/>
    <w:qFormat/>
    <w:rsid w:val="001F6214"/>
    <w:pPr>
      <w:ind w:left="720"/>
      <w:contextualSpacing/>
    </w:pPr>
  </w:style>
  <w:style w:type="character" w:styleId="nfaseIntensa">
    <w:name w:val="Intense Emphasis"/>
    <w:basedOn w:val="Fontepargpadro"/>
    <w:uiPriority w:val="21"/>
    <w:qFormat/>
    <w:rsid w:val="001F6214"/>
    <w:rPr>
      <w:i/>
      <w:iCs/>
      <w:color w:val="2F5496" w:themeColor="accent1" w:themeShade="BF"/>
    </w:rPr>
  </w:style>
  <w:style w:type="paragraph" w:styleId="CitaoIntensa">
    <w:name w:val="Intense Quote"/>
    <w:basedOn w:val="Normal"/>
    <w:next w:val="Normal"/>
    <w:link w:val="CitaoIntensaChar"/>
    <w:uiPriority w:val="30"/>
    <w:qFormat/>
    <w:rsid w:val="001F6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F6214"/>
    <w:rPr>
      <w:i/>
      <w:iCs/>
      <w:color w:val="2F5496" w:themeColor="accent1" w:themeShade="BF"/>
    </w:rPr>
  </w:style>
  <w:style w:type="character" w:styleId="RefernciaIntensa">
    <w:name w:val="Intense Reference"/>
    <w:basedOn w:val="Fontepargpadro"/>
    <w:uiPriority w:val="32"/>
    <w:qFormat/>
    <w:rsid w:val="001F6214"/>
    <w:rPr>
      <w:b/>
      <w:bCs/>
      <w:smallCaps/>
      <w:color w:val="2F5496" w:themeColor="accent1" w:themeShade="BF"/>
      <w:spacing w:val="5"/>
    </w:rPr>
  </w:style>
  <w:style w:type="paragraph" w:styleId="Cabealho">
    <w:name w:val="header"/>
    <w:aliases w:val="Cabeçalho superior,Heading 1a,h,he,HeaderNN,hd"/>
    <w:basedOn w:val="Normal"/>
    <w:link w:val="CabealhoChar"/>
    <w:uiPriority w:val="99"/>
    <w:qFormat/>
    <w:rsid w:val="001F6214"/>
    <w:pPr>
      <w:tabs>
        <w:tab w:val="center" w:pos="4419"/>
        <w:tab w:val="right" w:pos="8838"/>
      </w:tabs>
      <w:jc w:val="both"/>
    </w:pPr>
    <w:rPr>
      <w:rFonts w:ascii="Times New Roman" w:eastAsia="Times New Roman" w:hAnsi="Times New Roman" w:cs="Times New Roman"/>
      <w:szCs w:val="20"/>
      <w:lang w:val="x-none" w:eastAsia="x-none"/>
    </w:rPr>
  </w:style>
  <w:style w:type="character" w:customStyle="1" w:styleId="CabealhoChar">
    <w:name w:val="Cabeçalho Char"/>
    <w:aliases w:val="Cabeçalho superior Char,Heading 1a Char,h Char,he Char,HeaderNN Char,hd Char"/>
    <w:basedOn w:val="Fontepargpadro"/>
    <w:link w:val="Cabealho"/>
    <w:uiPriority w:val="99"/>
    <w:rsid w:val="001F6214"/>
    <w:rPr>
      <w:rFonts w:ascii="Times New Roman" w:eastAsia="Times New Roman" w:hAnsi="Times New Roman" w:cs="Times New Roman"/>
      <w:szCs w:val="20"/>
      <w:lang w:val="x-none" w:eastAsia="x-none"/>
    </w:rPr>
  </w:style>
  <w:style w:type="paragraph" w:styleId="Textodenotaderodap">
    <w:name w:val="footnote text"/>
    <w:basedOn w:val="Normal"/>
    <w:link w:val="TextodenotaderodapChar"/>
    <w:rsid w:val="001F6214"/>
    <w:pPr>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1F6214"/>
    <w:rPr>
      <w:rFonts w:ascii="Times New Roman" w:eastAsia="Times New Roman" w:hAnsi="Times New Roman" w:cs="Times New Roman"/>
      <w:sz w:val="20"/>
      <w:szCs w:val="20"/>
      <w:lang w:eastAsia="pt-BR"/>
    </w:rPr>
  </w:style>
  <w:style w:type="character" w:styleId="Refdenotaderodap">
    <w:name w:val="footnote reference"/>
    <w:rsid w:val="001F6214"/>
    <w:rPr>
      <w:vertAlign w:val="superscript"/>
    </w:rPr>
  </w:style>
  <w:style w:type="character" w:customStyle="1" w:styleId="PargrafodaListaChar">
    <w:name w:val="Parágrafo da Lista Char"/>
    <w:aliases w:val="TÍTULO 1 Char"/>
    <w:link w:val="PargrafodaLista"/>
    <w:qFormat/>
    <w:rsid w:val="001F6214"/>
  </w:style>
  <w:style w:type="paragraph" w:styleId="NormalWeb">
    <w:name w:val="Normal (Web)"/>
    <w:basedOn w:val="Normal"/>
    <w:uiPriority w:val="99"/>
    <w:unhideWhenUsed/>
    <w:rsid w:val="00EB503B"/>
    <w:rPr>
      <w:rFonts w:ascii="Times New Roman" w:hAnsi="Times New Roman" w:cs="Times New Roman"/>
    </w:rPr>
  </w:style>
  <w:style w:type="paragraph" w:customStyle="1" w:styleId="body">
    <w:name w:val="body"/>
    <w:basedOn w:val="Normal"/>
    <w:rsid w:val="00BD6449"/>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BD6449"/>
    <w:rPr>
      <w:color w:val="0563C1" w:themeColor="hyperlink"/>
      <w:u w:val="single"/>
    </w:rPr>
  </w:style>
  <w:style w:type="character" w:styleId="MenoPendente">
    <w:name w:val="Unresolved Mention"/>
    <w:basedOn w:val="Fontepargpadro"/>
    <w:uiPriority w:val="99"/>
    <w:semiHidden/>
    <w:unhideWhenUsed/>
    <w:rsid w:val="00BD6449"/>
    <w:rPr>
      <w:color w:val="605E5C"/>
      <w:shd w:val="clear" w:color="auto" w:fill="E1DFDD"/>
    </w:rPr>
  </w:style>
  <w:style w:type="character" w:styleId="Forte">
    <w:name w:val="Strong"/>
    <w:basedOn w:val="Fontepargpadro"/>
    <w:uiPriority w:val="22"/>
    <w:qFormat/>
    <w:rsid w:val="00BD6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54E4-3EE7-C843-8BAB-12D4D75D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4872</Words>
  <Characters>26315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Jandeson da Costa Barbosa</dc:creator>
  <cp:keywords/>
  <dc:description/>
  <cp:lastModifiedBy>Jandeson da Costa Barbosa</cp:lastModifiedBy>
  <cp:revision>4</cp:revision>
  <dcterms:created xsi:type="dcterms:W3CDTF">2025-08-08T00:07:00Z</dcterms:created>
  <dcterms:modified xsi:type="dcterms:W3CDTF">2025-08-08T00:17:00Z</dcterms:modified>
</cp:coreProperties>
</file>